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7BE" w:rsidRDefault="002D27BE" w:rsidP="002D27BE">
      <w:pPr>
        <w:rPr>
          <w:b/>
          <w:u w:val="single"/>
        </w:rPr>
      </w:pPr>
      <w:bookmarkStart w:id="0" w:name="_GoBack"/>
      <w:bookmarkEnd w:id="0"/>
    </w:p>
    <w:p w:rsidR="002D27BE" w:rsidRDefault="002D27BE" w:rsidP="002D27BE">
      <w:pPr>
        <w:rPr>
          <w:b/>
          <w:u w:val="single"/>
        </w:rPr>
      </w:pPr>
      <w:r>
        <w:rPr>
          <w:b/>
          <w:u w:val="single"/>
        </w:rPr>
        <w:t xml:space="preserve">Comité </w:t>
      </w:r>
      <w:proofErr w:type="spellStart"/>
      <w:r>
        <w:rPr>
          <w:b/>
          <w:u w:val="single"/>
        </w:rPr>
        <w:t>Meeschaert</w:t>
      </w:r>
      <w:proofErr w:type="spellEnd"/>
      <w:r>
        <w:rPr>
          <w:b/>
          <w:u w:val="single"/>
        </w:rPr>
        <w:t xml:space="preserve"> </w:t>
      </w:r>
      <w:r w:rsidR="007F1EEC">
        <w:rPr>
          <w:b/>
          <w:u w:val="single"/>
        </w:rPr>
        <w:t>Banques de détail</w:t>
      </w:r>
      <w:r w:rsidR="00DE34F7">
        <w:rPr>
          <w:b/>
          <w:u w:val="single"/>
        </w:rPr>
        <w:t xml:space="preserve"> et spécialisées</w:t>
      </w:r>
      <w:r w:rsidR="007F1EEC">
        <w:rPr>
          <w:b/>
          <w:u w:val="single"/>
        </w:rPr>
        <w:t xml:space="preserve"> 11 10 </w:t>
      </w:r>
      <w:r w:rsidR="00D0532E">
        <w:rPr>
          <w:b/>
          <w:u w:val="single"/>
        </w:rPr>
        <w:t>2016</w:t>
      </w:r>
    </w:p>
    <w:p w:rsidR="002D27BE" w:rsidRDefault="002D27BE" w:rsidP="002D27BE">
      <w:pPr>
        <w:rPr>
          <w:b/>
          <w:u w:val="single"/>
        </w:rPr>
      </w:pPr>
    </w:p>
    <w:p w:rsidR="002D27BE" w:rsidRDefault="002D27BE" w:rsidP="002D27BE">
      <w:pPr>
        <w:rPr>
          <w:b/>
          <w:u w:val="single"/>
        </w:rPr>
      </w:pPr>
    </w:p>
    <w:p w:rsidR="002D27BE" w:rsidRDefault="002D27BE" w:rsidP="002D27BE">
      <w:r>
        <w:t>Les membres d’Ethique et Investissement ont participé</w:t>
      </w:r>
      <w:r w:rsidR="00EB74C0">
        <w:t>,</w:t>
      </w:r>
      <w:r w:rsidR="00EB74C0" w:rsidRPr="00EB74C0">
        <w:t xml:space="preserve"> </w:t>
      </w:r>
      <w:r w:rsidR="00EB74C0">
        <w:t xml:space="preserve">le </w:t>
      </w:r>
      <w:r w:rsidR="003B7767">
        <w:t>11 octobre</w:t>
      </w:r>
      <w:r w:rsidR="00EB74C0">
        <w:t xml:space="preserve"> 2016,</w:t>
      </w:r>
      <w:r>
        <w:t xml:space="preserve"> au comité </w:t>
      </w:r>
      <w:proofErr w:type="spellStart"/>
      <w:r w:rsidR="007F1EEC">
        <w:t>Meeschaert</w:t>
      </w:r>
      <w:proofErr w:type="spellEnd"/>
      <w:r w:rsidR="007F1EEC">
        <w:t xml:space="preserve"> destiné à une première analyse du secteur</w:t>
      </w:r>
      <w:r>
        <w:t> </w:t>
      </w:r>
      <w:r w:rsidR="007F1EEC" w:rsidRPr="00140111">
        <w:rPr>
          <w:b/>
        </w:rPr>
        <w:t xml:space="preserve">Banques de détail </w:t>
      </w:r>
      <w:r w:rsidR="00DE34F7">
        <w:rPr>
          <w:b/>
        </w:rPr>
        <w:t xml:space="preserve">et spécialisées </w:t>
      </w:r>
      <w:r>
        <w:t>pour</w:t>
      </w:r>
      <w:r w:rsidR="00740E18">
        <w:t xml:space="preserve"> le fonds Nouvelle Stratégie 50.</w:t>
      </w:r>
      <w:r w:rsidR="00E065E3">
        <w:t>.</w:t>
      </w:r>
    </w:p>
    <w:p w:rsidR="00AE4A25" w:rsidRDefault="00AE4A25" w:rsidP="002D27BE"/>
    <w:p w:rsidR="001A2C48" w:rsidRDefault="0029326B" w:rsidP="002D27BE">
      <w:r>
        <w:t xml:space="preserve">Ce secteur regroupe les banques de </w:t>
      </w:r>
      <w:proofErr w:type="gramStart"/>
      <w:r>
        <w:t>détail ,</w:t>
      </w:r>
      <w:proofErr w:type="gramEnd"/>
      <w:r>
        <w:t xml:space="preserve"> par opposition aux banques d’investissement. Elles se caractérisent par une activité de collecte de dépôts et de distribution de crédits et autres services au travers de réseaux d’agences complétés par des services Internet.</w:t>
      </w:r>
      <w:r w:rsidR="007B73F4">
        <w:t xml:space="preserve"> </w:t>
      </w:r>
      <w:r w:rsidR="00C80354">
        <w:t xml:space="preserve"> La crise financière </w:t>
      </w:r>
      <w:r w:rsidR="007B73F4">
        <w:t xml:space="preserve">a eu un fort impact sur le </w:t>
      </w:r>
      <w:r w:rsidR="00C80354">
        <w:t>secteur :</w:t>
      </w:r>
      <w:r w:rsidR="00C80354" w:rsidRPr="00C80354">
        <w:t xml:space="preserve"> </w:t>
      </w:r>
      <w:r w:rsidR="00C80354">
        <w:t>durcissement de la réglementation (Bâle III)</w:t>
      </w:r>
      <w:r w:rsidR="00BA0931">
        <w:t xml:space="preserve"> avec un niveau record d’amendes et de </w:t>
      </w:r>
      <w:proofErr w:type="gramStart"/>
      <w:r w:rsidR="00BA0931">
        <w:t>pénalités</w:t>
      </w:r>
      <w:r w:rsidR="00C80354">
        <w:t xml:space="preserve"> ,</w:t>
      </w:r>
      <w:proofErr w:type="gramEnd"/>
      <w:r w:rsidR="00C80354">
        <w:t xml:space="preserve"> baisse des taux d’intérêt et donc des marges, hausse des créances douteuses et donc grande prudence dans les crédits aux entreprises en particulier aux PME</w:t>
      </w:r>
      <w:r w:rsidR="00F07DAE">
        <w:t xml:space="preserve"> </w:t>
      </w:r>
      <w:r w:rsidR="00C80354">
        <w:t>.</w:t>
      </w:r>
      <w:r w:rsidR="00BA0931">
        <w:t>Le secteur doit restaurer la confiance des clients et en même temps saisir l’opportunité de la digitalisation ( Internet).</w:t>
      </w:r>
    </w:p>
    <w:p w:rsidR="002D27BE" w:rsidRDefault="002D27BE" w:rsidP="002D27BE">
      <w:r>
        <w:t>Comment ce secteur répond-t-il aux objectifs de la charte d’Et</w:t>
      </w:r>
      <w:r w:rsidR="00EF3DFD">
        <w:t xml:space="preserve">hique et Investissement ? </w:t>
      </w:r>
      <w:r w:rsidR="0003195E">
        <w:t xml:space="preserve">La politique sociale est pour </w:t>
      </w:r>
      <w:r w:rsidR="00816583">
        <w:t xml:space="preserve"> </w:t>
      </w:r>
      <w:r w:rsidR="00E072DA">
        <w:t>moitié</w:t>
      </w:r>
      <w:r w:rsidR="00816583">
        <w:t xml:space="preserve"> médiocre</w:t>
      </w:r>
      <w:r w:rsidR="00E072DA">
        <w:t xml:space="preserve"> voire mauvaise. L</w:t>
      </w:r>
      <w:r w:rsidR="00816583">
        <w:t xml:space="preserve">a </w:t>
      </w:r>
      <w:r w:rsidR="00C51CDF">
        <w:t>politique</w:t>
      </w:r>
      <w:r w:rsidR="00816583">
        <w:t xml:space="preserve"> environnementale</w:t>
      </w:r>
      <w:r w:rsidR="00E072DA">
        <w:t xml:space="preserve"> est mauvaise à l’exception d’une entreprise. Il en est de même pour l’engagement local à l’exception de deux entreprises. L</w:t>
      </w:r>
      <w:r w:rsidR="00C51CDF">
        <w:t>es pratiques sur les marchés</w:t>
      </w:r>
      <w:r w:rsidR="00E072DA">
        <w:t xml:space="preserve"> sont</w:t>
      </w:r>
      <w:r w:rsidR="00722EDB">
        <w:t xml:space="preserve"> en général bonnes et la gouvernance très bonne sauf pour deux entreprises. </w:t>
      </w:r>
      <w:r w:rsidR="00052EE1">
        <w:t xml:space="preserve"> Enfin la situation est très contrastée en ce qui concerne </w:t>
      </w:r>
      <w:r w:rsidR="00722EDB">
        <w:t>les droits de l’homme</w:t>
      </w:r>
      <w:r w:rsidR="00052EE1">
        <w:t xml:space="preserve"> : </w:t>
      </w:r>
      <w:r w:rsidR="00722EDB">
        <w:t>quelques</w:t>
      </w:r>
      <w:r w:rsidR="00052EE1">
        <w:t xml:space="preserve"> entrepri</w:t>
      </w:r>
      <w:r w:rsidR="00722EDB">
        <w:t xml:space="preserve">ses sont très performantes et quelques </w:t>
      </w:r>
      <w:r w:rsidR="00052EE1">
        <w:t>autre</w:t>
      </w:r>
      <w:r w:rsidR="00722EDB">
        <w:t>s</w:t>
      </w:r>
      <w:r w:rsidR="00052EE1">
        <w:t xml:space="preserve">  très mauvaises.</w:t>
      </w:r>
    </w:p>
    <w:p w:rsidR="00492979" w:rsidRDefault="009D75A1">
      <w:r>
        <w:t>Les controverses</w:t>
      </w:r>
      <w:r w:rsidR="005E4578">
        <w:t xml:space="preserve"> sont </w:t>
      </w:r>
      <w:r w:rsidR="005B7347">
        <w:t>nombreuses, une seule entreprise y échappe</w:t>
      </w:r>
      <w:r w:rsidR="00492979">
        <w:t>.</w:t>
      </w:r>
      <w:r w:rsidR="00697994">
        <w:t xml:space="preserve"> Elles concernent </w:t>
      </w:r>
      <w:r w:rsidR="005B7347">
        <w:t xml:space="preserve">à plusieurs reprises des dirigeants. C’est le cas de la </w:t>
      </w:r>
      <w:proofErr w:type="spellStart"/>
      <w:r w:rsidR="005B7347">
        <w:t>Banca</w:t>
      </w:r>
      <w:proofErr w:type="spellEnd"/>
      <w:r w:rsidR="005B7347">
        <w:t xml:space="preserve"> </w:t>
      </w:r>
      <w:proofErr w:type="spellStart"/>
      <w:r w:rsidR="005B7347">
        <w:t>Popolare</w:t>
      </w:r>
      <w:proofErr w:type="spellEnd"/>
      <w:r w:rsidR="005B7347">
        <w:t xml:space="preserve"> di Milano pour une affaire de corruption et de la </w:t>
      </w:r>
      <w:proofErr w:type="spellStart"/>
      <w:r w:rsidR="005B7347">
        <w:t>Banca</w:t>
      </w:r>
      <w:proofErr w:type="spellEnd"/>
      <w:r w:rsidR="005B7347">
        <w:t xml:space="preserve"> </w:t>
      </w:r>
      <w:proofErr w:type="spellStart"/>
      <w:r w:rsidR="005B7347">
        <w:t>Popolare</w:t>
      </w:r>
      <w:proofErr w:type="spellEnd"/>
      <w:r w:rsidR="005B7347">
        <w:t xml:space="preserve"> pour une affaire de manipulation de cours</w:t>
      </w:r>
      <w:r w:rsidR="00B84432">
        <w:t>.</w:t>
      </w:r>
      <w:r w:rsidR="00CB305A">
        <w:t xml:space="preserve"> Plusieurs de ces banques sont citées dans les « Panama </w:t>
      </w:r>
      <w:proofErr w:type="spellStart"/>
      <w:r w:rsidR="00CB305A">
        <w:t>papers</w:t>
      </w:r>
      <w:proofErr w:type="spellEnd"/>
      <w:r w:rsidR="00CB305A">
        <w:t xml:space="preserve"> ».  </w:t>
      </w:r>
      <w:proofErr w:type="gramStart"/>
      <w:r w:rsidR="00CB305A">
        <w:t>Finalement ,</w:t>
      </w:r>
      <w:proofErr w:type="gramEnd"/>
      <w:r w:rsidR="0003195E">
        <w:t xml:space="preserve"> </w:t>
      </w:r>
      <w:r w:rsidR="00CB305A">
        <w:t>pour ce premier examen assez décevant , nous n’avons retenu que quatre entreprises sur les treize présentée</w:t>
      </w:r>
      <w:r w:rsidR="00E065E3">
        <w:t>s.</w:t>
      </w:r>
    </w:p>
    <w:p w:rsidR="00E065E3" w:rsidRDefault="00E065E3"/>
    <w:p w:rsidR="00E065E3" w:rsidRDefault="00E065E3" w:rsidP="00E065E3">
      <w:r>
        <w:t xml:space="preserve">Nous avons étudié les entreprises suivantes : Banco </w:t>
      </w:r>
      <w:proofErr w:type="spellStart"/>
      <w:r>
        <w:t>Popolare</w:t>
      </w:r>
      <w:proofErr w:type="spellEnd"/>
      <w:r>
        <w:t xml:space="preserve"> di Milano, Banco </w:t>
      </w:r>
      <w:proofErr w:type="spellStart"/>
      <w:r>
        <w:t>Popular</w:t>
      </w:r>
      <w:proofErr w:type="spellEnd"/>
      <w:r>
        <w:t xml:space="preserve"> </w:t>
      </w:r>
      <w:proofErr w:type="spellStart"/>
      <w:r>
        <w:t>Espanol</w:t>
      </w:r>
      <w:proofErr w:type="spellEnd"/>
      <w:r>
        <w:t xml:space="preserve">, Banco de </w:t>
      </w:r>
      <w:proofErr w:type="gramStart"/>
      <w:r>
        <w:t>Sabadell ,</w:t>
      </w:r>
      <w:proofErr w:type="gramEnd"/>
      <w:r>
        <w:t xml:space="preserve"> </w:t>
      </w:r>
      <w:proofErr w:type="spellStart"/>
      <w:r>
        <w:t>Raiffeisen</w:t>
      </w:r>
      <w:proofErr w:type="spellEnd"/>
      <w:r>
        <w:t xml:space="preserve"> Bank, UBI BANCA, </w:t>
      </w:r>
      <w:proofErr w:type="spellStart"/>
      <w:r>
        <w:t>Bankinter</w:t>
      </w:r>
      <w:proofErr w:type="spellEnd"/>
      <w:r>
        <w:t xml:space="preserve"> , Banco </w:t>
      </w:r>
      <w:proofErr w:type="spellStart"/>
      <w:r>
        <w:t>Popolare</w:t>
      </w:r>
      <w:proofErr w:type="spellEnd"/>
      <w:r>
        <w:t xml:space="preserve"> , </w:t>
      </w:r>
      <w:proofErr w:type="spellStart"/>
      <w:r>
        <w:t>Aareal</w:t>
      </w:r>
      <w:proofErr w:type="spellEnd"/>
      <w:r>
        <w:t xml:space="preserve"> Bank , BPER , </w:t>
      </w:r>
      <w:proofErr w:type="spellStart"/>
      <w:r>
        <w:t>Komercni</w:t>
      </w:r>
      <w:proofErr w:type="spellEnd"/>
      <w:r>
        <w:t xml:space="preserve"> Bank , Bank of Ireland , MEDIOBANCA et Alpha Bank.</w:t>
      </w:r>
    </w:p>
    <w:p w:rsidR="00E065E3" w:rsidRDefault="00E065E3"/>
    <w:p w:rsidR="00E065E3" w:rsidRDefault="00E065E3"/>
    <w:tbl>
      <w:tblPr>
        <w:tblW w:w="5175" w:type="dxa"/>
        <w:tblCellMar>
          <w:left w:w="0" w:type="dxa"/>
          <w:right w:w="0" w:type="dxa"/>
        </w:tblCellMar>
        <w:tblLook w:val="04A0" w:firstRow="1" w:lastRow="0" w:firstColumn="1" w:lastColumn="0" w:noHBand="0" w:noVBand="1"/>
      </w:tblPr>
      <w:tblGrid>
        <w:gridCol w:w="3075"/>
        <w:gridCol w:w="2100"/>
      </w:tblGrid>
      <w:tr w:rsidR="00E065E3" w:rsidTr="00E065E3">
        <w:trPr>
          <w:trHeight w:val="20"/>
        </w:trPr>
        <w:tc>
          <w:tcPr>
            <w:tcW w:w="3075" w:type="dxa"/>
            <w:tcBorders>
              <w:top w:val="single" w:sz="8" w:space="0" w:color="FFFFFF"/>
              <w:left w:val="single" w:sz="8" w:space="0" w:color="FFFFFF"/>
              <w:bottom w:val="single" w:sz="24" w:space="0" w:color="FFFFFF"/>
              <w:right w:val="single" w:sz="8" w:space="0" w:color="FFFFFF"/>
            </w:tcBorders>
            <w:shd w:val="clear" w:color="auto" w:fill="041E41"/>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r>
              <w:rPr>
                <w:rFonts w:ascii="Century Gothic" w:hAnsi="Century Gothic"/>
                <w:color w:val="FFFFFF"/>
                <w:sz w:val="16"/>
                <w:szCs w:val="16"/>
              </w:rPr>
              <w:t>Nom</w:t>
            </w:r>
          </w:p>
        </w:tc>
        <w:tc>
          <w:tcPr>
            <w:tcW w:w="2100" w:type="dxa"/>
            <w:tcBorders>
              <w:top w:val="single" w:sz="8" w:space="0" w:color="FFFFFF"/>
              <w:left w:val="nil"/>
              <w:bottom w:val="single" w:sz="24" w:space="0" w:color="FFFFFF"/>
              <w:right w:val="single" w:sz="8" w:space="0" w:color="FFFFFF"/>
            </w:tcBorders>
            <w:shd w:val="clear" w:color="auto" w:fill="041E41"/>
            <w:tcMar>
              <w:top w:w="72" w:type="dxa"/>
              <w:left w:w="144" w:type="dxa"/>
              <w:bottom w:w="72" w:type="dxa"/>
              <w:right w:w="144" w:type="dxa"/>
            </w:tcMar>
            <w:vAlign w:val="center"/>
            <w:hideMark/>
          </w:tcPr>
          <w:p w:rsidR="00E065E3" w:rsidRDefault="00E065E3">
            <w:pPr>
              <w:jc w:val="center"/>
              <w:rPr>
                <w:rFonts w:ascii="Arial" w:eastAsiaTheme="minorHAnsi" w:hAnsi="Arial" w:cs="Arial"/>
                <w:sz w:val="16"/>
                <w:szCs w:val="16"/>
              </w:rPr>
            </w:pPr>
            <w:r>
              <w:rPr>
                <w:rFonts w:ascii="Century Gothic" w:hAnsi="Century Gothic"/>
                <w:b/>
                <w:bCs/>
                <w:color w:val="FFFFFF"/>
                <w:sz w:val="16"/>
                <w:szCs w:val="16"/>
              </w:rPr>
              <w:t>Ethique et Investissement</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proofErr w:type="spellStart"/>
            <w:r>
              <w:rPr>
                <w:rFonts w:ascii="Century Gothic" w:hAnsi="Century Gothic"/>
                <w:color w:val="000000"/>
                <w:sz w:val="16"/>
                <w:szCs w:val="16"/>
              </w:rPr>
              <w:t>Banca</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Popolare</w:t>
            </w:r>
            <w:proofErr w:type="spellEnd"/>
            <w:r>
              <w:rPr>
                <w:rFonts w:ascii="Century Gothic" w:hAnsi="Century Gothic"/>
                <w:color w:val="000000"/>
                <w:sz w:val="16"/>
                <w:szCs w:val="16"/>
              </w:rPr>
              <w:t xml:space="preserve"> Di Milano</w:t>
            </w:r>
          </w:p>
        </w:tc>
        <w:tc>
          <w:tcPr>
            <w:tcW w:w="210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proofErr w:type="spellStart"/>
            <w:r>
              <w:rPr>
                <w:rFonts w:ascii="Century Gothic" w:hAnsi="Century Gothic"/>
                <w:color w:val="000000"/>
                <w:sz w:val="16"/>
                <w:szCs w:val="16"/>
              </w:rPr>
              <w:t>Bco</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Popular</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Espanol</w:t>
            </w:r>
            <w:proofErr w:type="spellEnd"/>
          </w:p>
        </w:tc>
        <w:tc>
          <w:tcPr>
            <w:tcW w:w="210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r>
              <w:rPr>
                <w:rFonts w:ascii="Century Gothic" w:hAnsi="Century Gothic"/>
                <w:color w:val="000000"/>
                <w:sz w:val="16"/>
                <w:szCs w:val="16"/>
              </w:rPr>
              <w:t>Banco de Sabadell S.A.</w:t>
            </w:r>
          </w:p>
        </w:tc>
        <w:tc>
          <w:tcPr>
            <w:tcW w:w="210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proofErr w:type="spellStart"/>
            <w:r>
              <w:rPr>
                <w:rFonts w:ascii="Century Gothic" w:hAnsi="Century Gothic"/>
                <w:color w:val="000000"/>
                <w:sz w:val="16"/>
                <w:szCs w:val="16"/>
              </w:rPr>
              <w:t>Raiffeisen</w:t>
            </w:r>
            <w:proofErr w:type="spellEnd"/>
            <w:r>
              <w:rPr>
                <w:rFonts w:ascii="Century Gothic" w:hAnsi="Century Gothic"/>
                <w:color w:val="000000"/>
                <w:sz w:val="16"/>
                <w:szCs w:val="16"/>
              </w:rPr>
              <w:t xml:space="preserve"> Bank International</w:t>
            </w:r>
          </w:p>
        </w:tc>
        <w:tc>
          <w:tcPr>
            <w:tcW w:w="210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r>
              <w:rPr>
                <w:rFonts w:ascii="Century Gothic" w:hAnsi="Century Gothic"/>
                <w:color w:val="000000"/>
                <w:sz w:val="16"/>
                <w:szCs w:val="16"/>
              </w:rPr>
              <w:t xml:space="preserve">UBI </w:t>
            </w:r>
            <w:proofErr w:type="spellStart"/>
            <w:r>
              <w:rPr>
                <w:rFonts w:ascii="Century Gothic" w:hAnsi="Century Gothic"/>
                <w:color w:val="000000"/>
                <w:sz w:val="16"/>
                <w:szCs w:val="16"/>
              </w:rPr>
              <w:t>Banca</w:t>
            </w:r>
            <w:proofErr w:type="spellEnd"/>
          </w:p>
        </w:tc>
        <w:tc>
          <w:tcPr>
            <w:tcW w:w="210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proofErr w:type="spellStart"/>
            <w:r>
              <w:rPr>
                <w:rFonts w:ascii="Century Gothic" w:hAnsi="Century Gothic"/>
                <w:color w:val="000000"/>
                <w:sz w:val="16"/>
                <w:szCs w:val="16"/>
              </w:rPr>
              <w:t>Bankinter</w:t>
            </w:r>
            <w:proofErr w:type="spellEnd"/>
            <w:r>
              <w:rPr>
                <w:rFonts w:ascii="Century Gothic" w:hAnsi="Century Gothic"/>
                <w:color w:val="000000"/>
                <w:sz w:val="16"/>
                <w:szCs w:val="16"/>
              </w:rPr>
              <w:t xml:space="preserve"> S.A.</w:t>
            </w:r>
          </w:p>
        </w:tc>
        <w:tc>
          <w:tcPr>
            <w:tcW w:w="210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r>
              <w:rPr>
                <w:rFonts w:ascii="Century Gothic" w:hAnsi="Century Gothic"/>
                <w:color w:val="000000"/>
                <w:sz w:val="16"/>
                <w:szCs w:val="16"/>
              </w:rPr>
              <w:t xml:space="preserve">Banco </w:t>
            </w:r>
            <w:proofErr w:type="spellStart"/>
            <w:r>
              <w:rPr>
                <w:rFonts w:ascii="Century Gothic" w:hAnsi="Century Gothic"/>
                <w:color w:val="000000"/>
                <w:sz w:val="16"/>
                <w:szCs w:val="16"/>
              </w:rPr>
              <w:t>Popolare</w:t>
            </w:r>
            <w:proofErr w:type="spellEnd"/>
          </w:p>
        </w:tc>
        <w:tc>
          <w:tcPr>
            <w:tcW w:w="210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r>
              <w:rPr>
                <w:rFonts w:ascii="Century Gothic" w:hAnsi="Century Gothic"/>
                <w:color w:val="000000"/>
                <w:sz w:val="16"/>
                <w:szCs w:val="16"/>
              </w:rPr>
              <w:t>AAREAL BANK</w:t>
            </w:r>
          </w:p>
        </w:tc>
        <w:tc>
          <w:tcPr>
            <w:tcW w:w="210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proofErr w:type="spellStart"/>
            <w:r>
              <w:rPr>
                <w:rFonts w:ascii="Century Gothic" w:hAnsi="Century Gothic"/>
                <w:color w:val="000000"/>
                <w:sz w:val="16"/>
                <w:szCs w:val="16"/>
              </w:rPr>
              <w:t>Banca</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Popolare</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dell'Emilia</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Romagna</w:t>
            </w:r>
            <w:proofErr w:type="spellEnd"/>
          </w:p>
        </w:tc>
        <w:tc>
          <w:tcPr>
            <w:tcW w:w="210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proofErr w:type="spellStart"/>
            <w:r>
              <w:rPr>
                <w:rFonts w:ascii="Century Gothic" w:hAnsi="Century Gothic"/>
                <w:color w:val="000000"/>
                <w:sz w:val="16"/>
                <w:szCs w:val="16"/>
              </w:rPr>
              <w:t>Komercni</w:t>
            </w:r>
            <w:proofErr w:type="spellEnd"/>
            <w:r>
              <w:rPr>
                <w:rFonts w:ascii="Century Gothic" w:hAnsi="Century Gothic"/>
                <w:color w:val="000000"/>
                <w:sz w:val="16"/>
                <w:szCs w:val="16"/>
              </w:rPr>
              <w:t xml:space="preserve"> Banka A.S.</w:t>
            </w:r>
          </w:p>
        </w:tc>
        <w:tc>
          <w:tcPr>
            <w:tcW w:w="210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r>
              <w:rPr>
                <w:rFonts w:ascii="Century Gothic" w:hAnsi="Century Gothic"/>
                <w:color w:val="000000"/>
                <w:sz w:val="16"/>
                <w:szCs w:val="16"/>
              </w:rPr>
              <w:t>Bank of Ireland</w:t>
            </w:r>
          </w:p>
        </w:tc>
        <w:tc>
          <w:tcPr>
            <w:tcW w:w="210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r>
              <w:rPr>
                <w:rFonts w:ascii="Century Gothic" w:hAnsi="Century Gothic"/>
                <w:color w:val="000000"/>
                <w:sz w:val="16"/>
                <w:szCs w:val="16"/>
              </w:rPr>
              <w:lastRenderedPageBreak/>
              <w:t>Mediobanca</w:t>
            </w:r>
          </w:p>
        </w:tc>
        <w:tc>
          <w:tcPr>
            <w:tcW w:w="210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r>
              <w:rPr>
                <w:rFonts w:ascii="Century Gothic" w:hAnsi="Century Gothic"/>
                <w:color w:val="000000"/>
                <w:sz w:val="16"/>
                <w:szCs w:val="16"/>
              </w:rPr>
              <w:t>Alpha Bank SA</w:t>
            </w:r>
          </w:p>
        </w:tc>
        <w:tc>
          <w:tcPr>
            <w:tcW w:w="210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r>
              <w:rPr>
                <w:rFonts w:ascii="Century Gothic" w:hAnsi="Century Gothic"/>
                <w:color w:val="000000"/>
                <w:sz w:val="16"/>
                <w:szCs w:val="16"/>
              </w:rPr>
              <w:t>JULIUS BAER</w:t>
            </w:r>
          </w:p>
        </w:tc>
        <w:tc>
          <w:tcPr>
            <w:tcW w:w="210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proofErr w:type="spellStart"/>
            <w:r>
              <w:rPr>
                <w:rFonts w:ascii="Century Gothic" w:hAnsi="Century Gothic"/>
                <w:color w:val="000000"/>
                <w:sz w:val="16"/>
                <w:szCs w:val="16"/>
              </w:rPr>
              <w:t>Eurobank</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Ergasias</w:t>
            </w:r>
            <w:proofErr w:type="spellEnd"/>
          </w:p>
        </w:tc>
        <w:tc>
          <w:tcPr>
            <w:tcW w:w="210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r>
              <w:rPr>
                <w:rFonts w:ascii="Century Gothic" w:hAnsi="Century Gothic"/>
                <w:color w:val="000000"/>
                <w:sz w:val="16"/>
                <w:szCs w:val="16"/>
              </w:rPr>
              <w:t>SYDBANK</w:t>
            </w:r>
          </w:p>
        </w:tc>
        <w:tc>
          <w:tcPr>
            <w:tcW w:w="210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proofErr w:type="spellStart"/>
            <w:r>
              <w:rPr>
                <w:rFonts w:ascii="Century Gothic" w:hAnsi="Century Gothic"/>
                <w:color w:val="000000"/>
                <w:sz w:val="16"/>
                <w:szCs w:val="16"/>
              </w:rPr>
              <w:t>Jyske</w:t>
            </w:r>
            <w:proofErr w:type="spellEnd"/>
            <w:r>
              <w:rPr>
                <w:rFonts w:ascii="Century Gothic" w:hAnsi="Century Gothic"/>
                <w:color w:val="000000"/>
                <w:sz w:val="16"/>
                <w:szCs w:val="16"/>
              </w:rPr>
              <w:t xml:space="preserve"> Bank</w:t>
            </w:r>
          </w:p>
        </w:tc>
        <w:tc>
          <w:tcPr>
            <w:tcW w:w="210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bl>
    <w:p w:rsidR="00E065E3" w:rsidRDefault="00E065E3"/>
    <w:p w:rsidR="00E065E3" w:rsidRDefault="00E065E3"/>
    <w:sectPr w:rsidR="00E06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BE"/>
    <w:rsid w:val="0003195E"/>
    <w:rsid w:val="00052EE1"/>
    <w:rsid w:val="000947C9"/>
    <w:rsid w:val="00094C83"/>
    <w:rsid w:val="00140111"/>
    <w:rsid w:val="00175F24"/>
    <w:rsid w:val="001A2C48"/>
    <w:rsid w:val="0029326B"/>
    <w:rsid w:val="002D27BE"/>
    <w:rsid w:val="003144BB"/>
    <w:rsid w:val="003265F0"/>
    <w:rsid w:val="00387356"/>
    <w:rsid w:val="003B7767"/>
    <w:rsid w:val="00471CDC"/>
    <w:rsid w:val="00492979"/>
    <w:rsid w:val="004A2AD9"/>
    <w:rsid w:val="004B6CE3"/>
    <w:rsid w:val="00514655"/>
    <w:rsid w:val="00526195"/>
    <w:rsid w:val="005B69D9"/>
    <w:rsid w:val="005B7347"/>
    <w:rsid w:val="005C2172"/>
    <w:rsid w:val="005E4578"/>
    <w:rsid w:val="005E64B8"/>
    <w:rsid w:val="00671587"/>
    <w:rsid w:val="00697994"/>
    <w:rsid w:val="006C3995"/>
    <w:rsid w:val="006D3566"/>
    <w:rsid w:val="00703975"/>
    <w:rsid w:val="00722EDB"/>
    <w:rsid w:val="00740E18"/>
    <w:rsid w:val="00746EC9"/>
    <w:rsid w:val="00795274"/>
    <w:rsid w:val="007B73F4"/>
    <w:rsid w:val="007D3149"/>
    <w:rsid w:val="007D7814"/>
    <w:rsid w:val="007D7A64"/>
    <w:rsid w:val="007F1EEC"/>
    <w:rsid w:val="00816583"/>
    <w:rsid w:val="008239F7"/>
    <w:rsid w:val="00844638"/>
    <w:rsid w:val="008B35D7"/>
    <w:rsid w:val="008C0424"/>
    <w:rsid w:val="008D1953"/>
    <w:rsid w:val="008E55FC"/>
    <w:rsid w:val="008E7AC7"/>
    <w:rsid w:val="008F46F2"/>
    <w:rsid w:val="008F638B"/>
    <w:rsid w:val="009422F1"/>
    <w:rsid w:val="009B7E14"/>
    <w:rsid w:val="009D75A1"/>
    <w:rsid w:val="00A74D12"/>
    <w:rsid w:val="00AA4063"/>
    <w:rsid w:val="00AE4A25"/>
    <w:rsid w:val="00B84432"/>
    <w:rsid w:val="00BA0931"/>
    <w:rsid w:val="00BD1DB8"/>
    <w:rsid w:val="00C51CDF"/>
    <w:rsid w:val="00C76F99"/>
    <w:rsid w:val="00C80354"/>
    <w:rsid w:val="00C83E85"/>
    <w:rsid w:val="00CA552D"/>
    <w:rsid w:val="00CB305A"/>
    <w:rsid w:val="00CB305C"/>
    <w:rsid w:val="00D0532E"/>
    <w:rsid w:val="00D14393"/>
    <w:rsid w:val="00D321CA"/>
    <w:rsid w:val="00D3502A"/>
    <w:rsid w:val="00D749F5"/>
    <w:rsid w:val="00DE34F7"/>
    <w:rsid w:val="00E065E3"/>
    <w:rsid w:val="00E072DA"/>
    <w:rsid w:val="00E17572"/>
    <w:rsid w:val="00E27288"/>
    <w:rsid w:val="00E30CFC"/>
    <w:rsid w:val="00E76D63"/>
    <w:rsid w:val="00E918A1"/>
    <w:rsid w:val="00EB74C0"/>
    <w:rsid w:val="00ED00CD"/>
    <w:rsid w:val="00ED1F68"/>
    <w:rsid w:val="00EF3DFD"/>
    <w:rsid w:val="00F07DAE"/>
    <w:rsid w:val="00FA5E14"/>
    <w:rsid w:val="00FC7FC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7BE"/>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7BE"/>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816847">
      <w:bodyDiv w:val="1"/>
      <w:marLeft w:val="0"/>
      <w:marRight w:val="0"/>
      <w:marTop w:val="0"/>
      <w:marBottom w:val="0"/>
      <w:divBdr>
        <w:top w:val="none" w:sz="0" w:space="0" w:color="auto"/>
        <w:left w:val="none" w:sz="0" w:space="0" w:color="auto"/>
        <w:bottom w:val="none" w:sz="0" w:space="0" w:color="auto"/>
        <w:right w:val="none" w:sz="0" w:space="0" w:color="auto"/>
      </w:divBdr>
    </w:div>
    <w:div w:id="173751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2426</Characters>
  <Application>Microsoft Macintosh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Chardigny</dc:creator>
  <cp:lastModifiedBy>claire de Nicolay</cp:lastModifiedBy>
  <cp:revision>2</cp:revision>
  <dcterms:created xsi:type="dcterms:W3CDTF">2018-11-06T21:21:00Z</dcterms:created>
  <dcterms:modified xsi:type="dcterms:W3CDTF">2018-11-06T21:21:00Z</dcterms:modified>
</cp:coreProperties>
</file>