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A5" w:rsidRDefault="00283AED" w:rsidP="00DE51A5">
      <w:bookmarkStart w:id="0" w:name="_GoBack"/>
      <w:bookmarkEnd w:id="0"/>
      <w:r>
        <w:t>COMITE DE GESTION NS 50 du 3 mai 2016</w:t>
      </w:r>
      <w:r w:rsidR="00C6297F">
        <w:t xml:space="preserve"> </w:t>
      </w:r>
      <w:proofErr w:type="gramStart"/>
      <w:r w:rsidR="00C6297F">
        <w:t>( Equipements</w:t>
      </w:r>
      <w:proofErr w:type="gramEnd"/>
      <w:r w:rsidR="00C6297F">
        <w:t xml:space="preserve"> et services pétroliers)</w:t>
      </w:r>
    </w:p>
    <w:p w:rsidR="00283AED" w:rsidRDefault="00283AED" w:rsidP="00DE51A5"/>
    <w:p w:rsidR="005B6AE9" w:rsidRDefault="005B6AE9" w:rsidP="005B6AE9">
      <w:pPr>
        <w:rPr>
          <w:b/>
          <w:u w:val="single"/>
        </w:rPr>
      </w:pPr>
    </w:p>
    <w:p w:rsidR="005B6AE9" w:rsidRDefault="005B6AE9" w:rsidP="005B6AE9">
      <w:r>
        <w:t>Les membres d’Ethique et Investissement ont participé, le 3 mai 2016, au comité Meeschaert destiné à la révision de l’univers  Equipements et services pétroliers pour le fonds Nouvelle Stratégie 50.</w:t>
      </w:r>
    </w:p>
    <w:p w:rsidR="005B6AE9" w:rsidRDefault="005B6AE9" w:rsidP="005B6AE9"/>
    <w:p w:rsidR="005B6AE9" w:rsidRDefault="005B6AE9" w:rsidP="005B6AE9">
      <w:r>
        <w:t xml:space="preserve">Nous avons étudié les entreprises suivantes : TGS Nospec, CGG, Petrofac, Wood Group, SBM Offshore, Technip, Saipem et GTT. </w:t>
      </w:r>
    </w:p>
    <w:p w:rsidR="005B6AE9" w:rsidRDefault="005B6AE9" w:rsidP="005B6AE9"/>
    <w:p w:rsidR="005B6AE9" w:rsidRDefault="005B6AE9" w:rsidP="005B6AE9">
      <w:r>
        <w:t>Ce secteur très divers recouvre des sociétés qui opèrent dans les équipements, les services et l’ingénierie pour les industries pétrolières et gazières. Elles interviennent au niveau de l’exploration-production, du raffinage et de la pétrochimie. Le secteur qui a connu un fort développement au cours des dernières années est très dépendant de la conjoncture pétrolière.La chute du prix du baril entraine des désinvestissements massifs et donc des restructurations et des arrêts de projets.Un haut niveau de R et D est essentiel afin de s’adapter au nouveau mix énergétique orienté vers les énergies durables .Des risques importants existent concernant les pollutions environnementales (gaz de schiste par exemple), la corruption , les accidents du travail et l’acceptation dans les territoires.</w:t>
      </w:r>
    </w:p>
    <w:p w:rsidR="005B6AE9" w:rsidRDefault="005B6AE9" w:rsidP="005B6AE9"/>
    <w:p w:rsidR="005B6AE9" w:rsidRDefault="005B6AE9" w:rsidP="005B6AE9"/>
    <w:p w:rsidR="005B6AE9" w:rsidRDefault="005B6AE9" w:rsidP="005B6AE9">
      <w:r>
        <w:t xml:space="preserve">Comment ce secteur répond-t-il aux objectifs de la charte d’Ethique et Investissement ? La politique sociale est pour la quasi-totalité médiocre, de même que la politique environnementale, les droits de l’homme et les pratiques sur les marchés. En revanche la totalité du secteur est très bien noté pour la </w:t>
      </w:r>
      <w:proofErr w:type="gramStart"/>
      <w:r>
        <w:t>gouvernance .</w:t>
      </w:r>
      <w:proofErr w:type="gramEnd"/>
      <w:r>
        <w:t xml:space="preserve"> Enfin la situation est très contrastée en ce qui concerne l’engagement local : la moitié des entreprises sont très performantes et l’autre moitié sont très mauvaises.</w:t>
      </w:r>
    </w:p>
    <w:p w:rsidR="005B6AE9" w:rsidRDefault="005B6AE9" w:rsidP="005B6AE9"/>
    <w:p w:rsidR="005B6AE9" w:rsidRDefault="005B6AE9" w:rsidP="005B6AE9">
      <w:r>
        <w:t xml:space="preserve">Les controverses ne sont pas extrêmement nombreuses, mais elles sont de niveau  élevé. Elles concernent essentiellement des problèmes de corruption. C’est ainsi le cas de Saipem au Brésil et de SBM Offshore en </w:t>
      </w:r>
      <w:proofErr w:type="gramStart"/>
      <w:r>
        <w:t>Angola ,au</w:t>
      </w:r>
      <w:proofErr w:type="gramEnd"/>
      <w:r>
        <w:t xml:space="preserve"> Brésil et en Guinée équatoriale .</w:t>
      </w:r>
    </w:p>
    <w:p w:rsidR="005B6AE9" w:rsidRDefault="005B6AE9" w:rsidP="00DE51A5"/>
    <w:p w:rsidR="005B6AE9" w:rsidRDefault="005B6AE9" w:rsidP="00DE51A5"/>
    <w:tbl>
      <w:tblPr>
        <w:tblW w:w="4103" w:type="dxa"/>
        <w:tblCellMar>
          <w:left w:w="0" w:type="dxa"/>
          <w:right w:w="0" w:type="dxa"/>
        </w:tblCellMar>
        <w:tblLook w:val="04A0" w:firstRow="1" w:lastRow="0" w:firstColumn="1" w:lastColumn="0" w:noHBand="0" w:noVBand="1"/>
      </w:tblPr>
      <w:tblGrid>
        <w:gridCol w:w="1258"/>
        <w:gridCol w:w="2845"/>
      </w:tblGrid>
      <w:tr w:rsidR="00283AED" w:rsidTr="00283AED">
        <w:trPr>
          <w:trHeight w:val="409"/>
        </w:trPr>
        <w:tc>
          <w:tcPr>
            <w:tcW w:w="1258" w:type="dxa"/>
            <w:tcBorders>
              <w:top w:val="single" w:sz="8" w:space="0" w:color="FFFFFF"/>
              <w:left w:val="single" w:sz="8" w:space="0" w:color="FFFFFF"/>
              <w:bottom w:val="single" w:sz="24" w:space="0" w:color="FFFFFF"/>
              <w:right w:val="single" w:sz="8" w:space="0" w:color="FFFFFF"/>
            </w:tcBorders>
            <w:shd w:val="clear" w:color="auto" w:fill="041E41"/>
            <w:tcMar>
              <w:top w:w="72" w:type="dxa"/>
              <w:left w:w="144" w:type="dxa"/>
              <w:bottom w:w="72" w:type="dxa"/>
              <w:right w:w="144" w:type="dxa"/>
            </w:tcMar>
            <w:hideMark/>
          </w:tcPr>
          <w:p w:rsidR="00283AED" w:rsidRDefault="00283AED">
            <w:r>
              <w:rPr>
                <w:b/>
                <w:bCs/>
              </w:rPr>
              <w:t>Entreprise</w:t>
            </w:r>
          </w:p>
        </w:tc>
        <w:tc>
          <w:tcPr>
            <w:tcW w:w="2845"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hideMark/>
          </w:tcPr>
          <w:p w:rsidR="00283AED" w:rsidRDefault="00283AED">
            <w:r>
              <w:rPr>
                <w:b/>
                <w:bCs/>
              </w:rPr>
              <w:t>Ethique et Investissement</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TGS Nopec</w:t>
            </w:r>
          </w:p>
        </w:tc>
        <w:tc>
          <w:tcPr>
            <w:tcW w:w="284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CGG (hors Stoxx600)</w:t>
            </w:r>
          </w:p>
        </w:tc>
        <w:tc>
          <w:tcPr>
            <w:tcW w:w="284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Conserver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Petrofac</w:t>
            </w:r>
          </w:p>
        </w:tc>
        <w:tc>
          <w:tcPr>
            <w:tcW w:w="284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Wood Group</w:t>
            </w:r>
          </w:p>
        </w:tc>
        <w:tc>
          <w:tcPr>
            <w:tcW w:w="284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SBM Offshore</w:t>
            </w:r>
          </w:p>
        </w:tc>
        <w:tc>
          <w:tcPr>
            <w:tcW w:w="284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Saipem</w:t>
            </w:r>
          </w:p>
        </w:tc>
        <w:tc>
          <w:tcPr>
            <w:tcW w:w="284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Exclure</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Technip</w:t>
            </w:r>
          </w:p>
        </w:tc>
        <w:tc>
          <w:tcPr>
            <w:tcW w:w="284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Conserver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GTT (hors Stoxx600)</w:t>
            </w:r>
          </w:p>
        </w:tc>
        <w:tc>
          <w:tcPr>
            <w:tcW w:w="284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Amec Foster</w:t>
            </w:r>
          </w:p>
        </w:tc>
        <w:tc>
          <w:tcPr>
            <w:tcW w:w="284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lastRenderedPageBreak/>
              <w:t>Seadrill</w:t>
            </w:r>
          </w:p>
        </w:tc>
        <w:tc>
          <w:tcPr>
            <w:tcW w:w="284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Subsea 7</w:t>
            </w:r>
          </w:p>
        </w:tc>
        <w:tc>
          <w:tcPr>
            <w:tcW w:w="284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283AED" w:rsidRDefault="00283AED">
            <w:r>
              <w:t>Ne pas intégrer</w:t>
            </w:r>
          </w:p>
        </w:tc>
      </w:tr>
      <w:tr w:rsidR="00283AED" w:rsidTr="00283AED">
        <w:tc>
          <w:tcPr>
            <w:tcW w:w="1258" w:type="dxa"/>
            <w:tcBorders>
              <w:top w:val="nil"/>
              <w:left w:val="single" w:sz="8" w:space="0" w:color="FFFFFF"/>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Rubis</w:t>
            </w:r>
          </w:p>
        </w:tc>
        <w:tc>
          <w:tcPr>
            <w:tcW w:w="284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283AED" w:rsidRDefault="00283AED">
            <w:r>
              <w:t>Ne pas intégrer</w:t>
            </w:r>
          </w:p>
        </w:tc>
      </w:tr>
    </w:tbl>
    <w:p w:rsidR="00DE51A5" w:rsidRDefault="00DE51A5" w:rsidP="00DE51A5"/>
    <w:p w:rsidR="00DE51A5" w:rsidRDefault="00DE51A5" w:rsidP="00DE51A5">
      <w:r>
        <w:t>Par ailleurs Elior (moyenne capitalisation, hors Stoxx60 – Intégration positive nutrition) a été intégré aux périmètres également.</w:t>
      </w:r>
    </w:p>
    <w:p w:rsidR="00AC4267" w:rsidRDefault="00AC4267"/>
    <w:sectPr w:rsidR="00AC4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A5"/>
    <w:rsid w:val="00283AED"/>
    <w:rsid w:val="00444FCF"/>
    <w:rsid w:val="005B6AE9"/>
    <w:rsid w:val="00AC4267"/>
    <w:rsid w:val="00C6297F"/>
    <w:rsid w:val="00DE51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628859">
      <w:bodyDiv w:val="1"/>
      <w:marLeft w:val="0"/>
      <w:marRight w:val="0"/>
      <w:marTop w:val="0"/>
      <w:marBottom w:val="0"/>
      <w:divBdr>
        <w:top w:val="none" w:sz="0" w:space="0" w:color="auto"/>
        <w:left w:val="none" w:sz="0" w:space="0" w:color="auto"/>
        <w:bottom w:val="none" w:sz="0" w:space="0" w:color="auto"/>
        <w:right w:val="none" w:sz="0" w:space="0" w:color="auto"/>
      </w:divBdr>
    </w:div>
    <w:div w:id="17812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claire de Nicolay</cp:lastModifiedBy>
  <cp:revision>2</cp:revision>
  <dcterms:created xsi:type="dcterms:W3CDTF">2018-11-06T21:23:00Z</dcterms:created>
  <dcterms:modified xsi:type="dcterms:W3CDTF">2018-11-06T21:23:00Z</dcterms:modified>
</cp:coreProperties>
</file>