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Y="1470"/>
        <w:tblW w:w="4954" w:type="dxa"/>
        <w:tblCellMar>
          <w:left w:w="0" w:type="dxa"/>
          <w:right w:w="0" w:type="dxa"/>
        </w:tblCellMar>
        <w:tblLook w:val="04A0" w:firstRow="1" w:lastRow="0" w:firstColumn="1" w:lastColumn="0" w:noHBand="0" w:noVBand="1"/>
      </w:tblPr>
      <w:tblGrid>
        <w:gridCol w:w="2100"/>
        <w:gridCol w:w="2854"/>
      </w:tblGrid>
      <w:tr w:rsidR="00945CB3" w:rsidTr="00945CB3">
        <w:trPr>
          <w:trHeight w:val="20"/>
        </w:trPr>
        <w:tc>
          <w:tcPr>
            <w:tcW w:w="2100" w:type="dxa"/>
            <w:tcBorders>
              <w:top w:val="single" w:sz="8" w:space="0" w:color="FFFFFF"/>
              <w:left w:val="single" w:sz="8" w:space="0" w:color="FFFFFF"/>
              <w:bottom w:val="single" w:sz="24" w:space="0" w:color="FFFFFF"/>
              <w:right w:val="single" w:sz="8" w:space="0" w:color="FFFFFF"/>
            </w:tcBorders>
            <w:shd w:val="clear" w:color="auto" w:fill="041E41"/>
            <w:tcMar>
              <w:top w:w="72" w:type="dxa"/>
              <w:left w:w="144" w:type="dxa"/>
              <w:bottom w:w="72" w:type="dxa"/>
              <w:right w:w="144" w:type="dxa"/>
            </w:tcMar>
            <w:hideMark/>
          </w:tcPr>
          <w:p w:rsidR="00945CB3" w:rsidRDefault="00945CB3" w:rsidP="00E3396E">
            <w:pPr>
              <w:rPr>
                <w:rFonts w:ascii="Times New Roman" w:eastAsia="Times New Roman" w:hAnsi="Times New Roman"/>
                <w:sz w:val="20"/>
                <w:szCs w:val="20"/>
                <w:lang w:eastAsia="fr-FR"/>
              </w:rPr>
            </w:pPr>
            <w:bookmarkStart w:id="0" w:name="_GoBack"/>
            <w:bookmarkEnd w:id="0"/>
          </w:p>
        </w:tc>
        <w:tc>
          <w:tcPr>
            <w:tcW w:w="2854" w:type="dxa"/>
            <w:tcBorders>
              <w:top w:val="single" w:sz="8" w:space="0" w:color="FFFFFF"/>
              <w:left w:val="nil"/>
              <w:bottom w:val="single" w:sz="24" w:space="0" w:color="FFFFFF"/>
              <w:right w:val="single" w:sz="8" w:space="0" w:color="FFFFFF"/>
            </w:tcBorders>
            <w:shd w:val="clear" w:color="auto" w:fill="041E41"/>
            <w:tcMar>
              <w:top w:w="72" w:type="dxa"/>
              <w:left w:w="144" w:type="dxa"/>
              <w:bottom w:w="72" w:type="dxa"/>
              <w:right w:w="144" w:type="dxa"/>
            </w:tcMar>
            <w:hideMark/>
          </w:tcPr>
          <w:p w:rsidR="00945CB3" w:rsidRDefault="00945CB3" w:rsidP="00E3396E">
            <w:r>
              <w:rPr>
                <w:b/>
                <w:bCs/>
              </w:rPr>
              <w:t>Ethique et Investissement</w:t>
            </w:r>
          </w:p>
        </w:tc>
      </w:tr>
      <w:tr w:rsidR="00945CB3" w:rsidTr="00945CB3">
        <w:trPr>
          <w:trHeight w:val="20"/>
        </w:trPr>
        <w:tc>
          <w:tcPr>
            <w:tcW w:w="2100" w:type="dxa"/>
            <w:tcBorders>
              <w:top w:val="nil"/>
              <w:left w:val="single" w:sz="8" w:space="0" w:color="FFFFFF"/>
              <w:bottom w:val="single" w:sz="8" w:space="0" w:color="FFFFFF"/>
              <w:right w:val="single" w:sz="8" w:space="0" w:color="FFFFFF"/>
            </w:tcBorders>
            <w:shd w:val="clear" w:color="auto" w:fill="CBCCCF"/>
            <w:tcMar>
              <w:top w:w="8" w:type="dxa"/>
              <w:left w:w="11" w:type="dxa"/>
              <w:bottom w:w="0" w:type="dxa"/>
              <w:right w:w="11" w:type="dxa"/>
            </w:tcMar>
            <w:vAlign w:val="center"/>
            <w:hideMark/>
          </w:tcPr>
          <w:p w:rsidR="00945CB3" w:rsidRDefault="00945CB3" w:rsidP="00E3396E">
            <w:proofErr w:type="spellStart"/>
            <w:r>
              <w:rPr>
                <w:b/>
                <w:bCs/>
              </w:rPr>
              <w:t>Repsol</w:t>
            </w:r>
            <w:proofErr w:type="spellEnd"/>
          </w:p>
        </w:tc>
        <w:tc>
          <w:tcPr>
            <w:tcW w:w="2854"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vAlign w:val="center"/>
            <w:hideMark/>
          </w:tcPr>
          <w:p w:rsidR="00945CB3" w:rsidRDefault="00945CB3" w:rsidP="00E3396E">
            <w:r>
              <w:t>Intégrer</w:t>
            </w:r>
          </w:p>
        </w:tc>
      </w:tr>
      <w:tr w:rsidR="00945CB3" w:rsidTr="00945CB3">
        <w:trPr>
          <w:trHeight w:val="20"/>
        </w:trPr>
        <w:tc>
          <w:tcPr>
            <w:tcW w:w="2100" w:type="dxa"/>
            <w:tcBorders>
              <w:top w:val="nil"/>
              <w:left w:val="single" w:sz="8" w:space="0" w:color="FFFFFF"/>
              <w:bottom w:val="single" w:sz="8" w:space="0" w:color="FFFFFF"/>
              <w:right w:val="single" w:sz="8" w:space="0" w:color="FFFFFF"/>
            </w:tcBorders>
            <w:shd w:val="clear" w:color="auto" w:fill="E7E7E8"/>
            <w:tcMar>
              <w:top w:w="8" w:type="dxa"/>
              <w:left w:w="11" w:type="dxa"/>
              <w:bottom w:w="0" w:type="dxa"/>
              <w:right w:w="11" w:type="dxa"/>
            </w:tcMar>
            <w:vAlign w:val="center"/>
            <w:hideMark/>
          </w:tcPr>
          <w:p w:rsidR="00945CB3" w:rsidRDefault="00945CB3" w:rsidP="00E3396E">
            <w:r>
              <w:rPr>
                <w:b/>
                <w:bCs/>
              </w:rPr>
              <w:t>Total</w:t>
            </w:r>
          </w:p>
        </w:tc>
        <w:tc>
          <w:tcPr>
            <w:tcW w:w="2854"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vAlign w:val="center"/>
            <w:hideMark/>
          </w:tcPr>
          <w:p w:rsidR="00945CB3" w:rsidRDefault="00945CB3" w:rsidP="00E3396E">
            <w:r>
              <w:t>Ne pas intégrer</w:t>
            </w:r>
          </w:p>
        </w:tc>
      </w:tr>
      <w:tr w:rsidR="00945CB3" w:rsidTr="00945CB3">
        <w:trPr>
          <w:trHeight w:val="20"/>
        </w:trPr>
        <w:tc>
          <w:tcPr>
            <w:tcW w:w="2100" w:type="dxa"/>
            <w:tcBorders>
              <w:top w:val="nil"/>
              <w:left w:val="single" w:sz="8" w:space="0" w:color="FFFFFF"/>
              <w:bottom w:val="single" w:sz="8" w:space="0" w:color="FFFFFF"/>
              <w:right w:val="single" w:sz="8" w:space="0" w:color="FFFFFF"/>
            </w:tcBorders>
            <w:shd w:val="clear" w:color="auto" w:fill="CBCCCF"/>
            <w:tcMar>
              <w:top w:w="8" w:type="dxa"/>
              <w:left w:w="11" w:type="dxa"/>
              <w:bottom w:w="0" w:type="dxa"/>
              <w:right w:w="11" w:type="dxa"/>
            </w:tcMar>
            <w:vAlign w:val="center"/>
            <w:hideMark/>
          </w:tcPr>
          <w:p w:rsidR="00945CB3" w:rsidRDefault="00945CB3" w:rsidP="00E3396E">
            <w:r>
              <w:rPr>
                <w:b/>
                <w:bCs/>
              </w:rPr>
              <w:t>ENI</w:t>
            </w:r>
          </w:p>
        </w:tc>
        <w:tc>
          <w:tcPr>
            <w:tcW w:w="2854"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vAlign w:val="center"/>
            <w:hideMark/>
          </w:tcPr>
          <w:p w:rsidR="00945CB3" w:rsidRDefault="00945CB3" w:rsidP="00E3396E">
            <w:r>
              <w:t>Exclure</w:t>
            </w:r>
          </w:p>
        </w:tc>
      </w:tr>
      <w:tr w:rsidR="00945CB3" w:rsidTr="00945CB3">
        <w:trPr>
          <w:trHeight w:val="20"/>
        </w:trPr>
        <w:tc>
          <w:tcPr>
            <w:tcW w:w="2100" w:type="dxa"/>
            <w:tcBorders>
              <w:top w:val="nil"/>
              <w:left w:val="single" w:sz="8" w:space="0" w:color="FFFFFF"/>
              <w:bottom w:val="single" w:sz="8" w:space="0" w:color="FFFFFF"/>
              <w:right w:val="single" w:sz="8" w:space="0" w:color="FFFFFF"/>
            </w:tcBorders>
            <w:shd w:val="clear" w:color="auto" w:fill="E7E7E8"/>
            <w:tcMar>
              <w:top w:w="8" w:type="dxa"/>
              <w:left w:w="11" w:type="dxa"/>
              <w:bottom w:w="0" w:type="dxa"/>
              <w:right w:w="11" w:type="dxa"/>
            </w:tcMar>
            <w:vAlign w:val="center"/>
            <w:hideMark/>
          </w:tcPr>
          <w:p w:rsidR="00945CB3" w:rsidRDefault="00945CB3" w:rsidP="00E3396E">
            <w:pPr>
              <w:rPr>
                <w:lang w:val="en-US"/>
              </w:rPr>
            </w:pPr>
            <w:r>
              <w:rPr>
                <w:b/>
                <w:bCs/>
                <w:lang w:val="en-US"/>
              </w:rPr>
              <w:t xml:space="preserve">Galp </w:t>
            </w:r>
            <w:proofErr w:type="spellStart"/>
            <w:r>
              <w:rPr>
                <w:b/>
                <w:bCs/>
                <w:lang w:val="en-US"/>
              </w:rPr>
              <w:t>Energia</w:t>
            </w:r>
            <w:proofErr w:type="spellEnd"/>
            <w:r>
              <w:rPr>
                <w:b/>
                <w:bCs/>
                <w:lang w:val="en-US"/>
              </w:rPr>
              <w:t xml:space="preserve"> SGPS S/A</w:t>
            </w:r>
          </w:p>
        </w:tc>
        <w:tc>
          <w:tcPr>
            <w:tcW w:w="2854"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vAlign w:val="center"/>
            <w:hideMark/>
          </w:tcPr>
          <w:p w:rsidR="00945CB3" w:rsidRDefault="00945CB3" w:rsidP="00E3396E">
            <w:r>
              <w:t>Intégrer</w:t>
            </w:r>
          </w:p>
        </w:tc>
      </w:tr>
      <w:tr w:rsidR="00945CB3" w:rsidTr="00945CB3">
        <w:trPr>
          <w:trHeight w:val="20"/>
        </w:trPr>
        <w:tc>
          <w:tcPr>
            <w:tcW w:w="2100" w:type="dxa"/>
            <w:tcBorders>
              <w:top w:val="nil"/>
              <w:left w:val="single" w:sz="8" w:space="0" w:color="FFFFFF"/>
              <w:bottom w:val="single" w:sz="8" w:space="0" w:color="FFFFFF"/>
              <w:right w:val="single" w:sz="8" w:space="0" w:color="FFFFFF"/>
            </w:tcBorders>
            <w:shd w:val="clear" w:color="auto" w:fill="CBCCCF"/>
            <w:tcMar>
              <w:top w:w="8" w:type="dxa"/>
              <w:left w:w="11" w:type="dxa"/>
              <w:bottom w:w="0" w:type="dxa"/>
              <w:right w:w="11" w:type="dxa"/>
            </w:tcMar>
            <w:vAlign w:val="center"/>
            <w:hideMark/>
          </w:tcPr>
          <w:p w:rsidR="00945CB3" w:rsidRDefault="00945CB3" w:rsidP="00E3396E">
            <w:proofErr w:type="spellStart"/>
            <w:r>
              <w:rPr>
                <w:b/>
                <w:bCs/>
              </w:rPr>
              <w:t>Omv</w:t>
            </w:r>
            <w:proofErr w:type="spellEnd"/>
            <w:r>
              <w:rPr>
                <w:b/>
                <w:bCs/>
              </w:rPr>
              <w:t xml:space="preserve"> AG</w:t>
            </w:r>
          </w:p>
        </w:tc>
        <w:tc>
          <w:tcPr>
            <w:tcW w:w="2854"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vAlign w:val="center"/>
            <w:hideMark/>
          </w:tcPr>
          <w:p w:rsidR="00945CB3" w:rsidRDefault="00945CB3" w:rsidP="00E3396E">
            <w:r>
              <w:t>Intégrer</w:t>
            </w:r>
          </w:p>
        </w:tc>
      </w:tr>
      <w:tr w:rsidR="00945CB3" w:rsidTr="00945CB3">
        <w:trPr>
          <w:trHeight w:val="20"/>
        </w:trPr>
        <w:tc>
          <w:tcPr>
            <w:tcW w:w="2100" w:type="dxa"/>
            <w:tcBorders>
              <w:top w:val="nil"/>
              <w:left w:val="single" w:sz="8" w:space="0" w:color="FFFFFF"/>
              <w:bottom w:val="single" w:sz="8" w:space="0" w:color="FFFFFF"/>
              <w:right w:val="single" w:sz="8" w:space="0" w:color="FFFFFF"/>
            </w:tcBorders>
            <w:shd w:val="clear" w:color="auto" w:fill="E7E7E8"/>
            <w:tcMar>
              <w:top w:w="8" w:type="dxa"/>
              <w:left w:w="11" w:type="dxa"/>
              <w:bottom w:w="0" w:type="dxa"/>
              <w:right w:w="11" w:type="dxa"/>
            </w:tcMar>
            <w:vAlign w:val="center"/>
            <w:hideMark/>
          </w:tcPr>
          <w:p w:rsidR="00945CB3" w:rsidRDefault="00945CB3" w:rsidP="00E3396E">
            <w:proofErr w:type="spellStart"/>
            <w:r>
              <w:rPr>
                <w:b/>
                <w:bCs/>
              </w:rPr>
              <w:t>Neste</w:t>
            </w:r>
            <w:proofErr w:type="spellEnd"/>
          </w:p>
        </w:tc>
        <w:tc>
          <w:tcPr>
            <w:tcW w:w="2854"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vAlign w:val="center"/>
            <w:hideMark/>
          </w:tcPr>
          <w:p w:rsidR="00945CB3" w:rsidRDefault="00945CB3" w:rsidP="00E3396E">
            <w:r>
              <w:t>Ne pas intégrer</w:t>
            </w:r>
          </w:p>
        </w:tc>
      </w:tr>
      <w:tr w:rsidR="00945CB3" w:rsidTr="00945CB3">
        <w:trPr>
          <w:trHeight w:val="20"/>
        </w:trPr>
        <w:tc>
          <w:tcPr>
            <w:tcW w:w="2100" w:type="dxa"/>
            <w:tcBorders>
              <w:top w:val="nil"/>
              <w:left w:val="single" w:sz="8" w:space="0" w:color="FFFFFF"/>
              <w:bottom w:val="single" w:sz="8" w:space="0" w:color="FFFFFF"/>
              <w:right w:val="single" w:sz="8" w:space="0" w:color="FFFFFF"/>
            </w:tcBorders>
            <w:shd w:val="clear" w:color="auto" w:fill="CBCCCF"/>
            <w:tcMar>
              <w:top w:w="8" w:type="dxa"/>
              <w:left w:w="11" w:type="dxa"/>
              <w:bottom w:w="0" w:type="dxa"/>
              <w:right w:w="11" w:type="dxa"/>
            </w:tcMar>
            <w:vAlign w:val="center"/>
            <w:hideMark/>
          </w:tcPr>
          <w:p w:rsidR="00945CB3" w:rsidRDefault="00945CB3" w:rsidP="00E3396E">
            <w:r>
              <w:rPr>
                <w:b/>
                <w:bCs/>
              </w:rPr>
              <w:t>ROYAL DUTCH SHELL A</w:t>
            </w:r>
          </w:p>
        </w:tc>
        <w:tc>
          <w:tcPr>
            <w:tcW w:w="2854"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vAlign w:val="center"/>
            <w:hideMark/>
          </w:tcPr>
          <w:p w:rsidR="00945CB3" w:rsidRDefault="00945CB3" w:rsidP="00E3396E">
            <w:r>
              <w:t>Ne pas intégrer</w:t>
            </w:r>
          </w:p>
        </w:tc>
      </w:tr>
      <w:tr w:rsidR="00945CB3" w:rsidTr="00945CB3">
        <w:trPr>
          <w:trHeight w:val="20"/>
        </w:trPr>
        <w:tc>
          <w:tcPr>
            <w:tcW w:w="2100" w:type="dxa"/>
            <w:tcBorders>
              <w:top w:val="nil"/>
              <w:left w:val="single" w:sz="8" w:space="0" w:color="FFFFFF"/>
              <w:bottom w:val="single" w:sz="8" w:space="0" w:color="FFFFFF"/>
              <w:right w:val="single" w:sz="8" w:space="0" w:color="FFFFFF"/>
            </w:tcBorders>
            <w:shd w:val="clear" w:color="auto" w:fill="E7E7E8"/>
            <w:tcMar>
              <w:top w:w="8" w:type="dxa"/>
              <w:left w:w="11" w:type="dxa"/>
              <w:bottom w:w="0" w:type="dxa"/>
              <w:right w:w="11" w:type="dxa"/>
            </w:tcMar>
            <w:vAlign w:val="center"/>
            <w:hideMark/>
          </w:tcPr>
          <w:p w:rsidR="00945CB3" w:rsidRDefault="00945CB3" w:rsidP="00E3396E">
            <w:proofErr w:type="spellStart"/>
            <w:r>
              <w:rPr>
                <w:b/>
                <w:bCs/>
              </w:rPr>
              <w:t>Statoil</w:t>
            </w:r>
            <w:proofErr w:type="spellEnd"/>
          </w:p>
        </w:tc>
        <w:tc>
          <w:tcPr>
            <w:tcW w:w="2854"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vAlign w:val="center"/>
            <w:hideMark/>
          </w:tcPr>
          <w:p w:rsidR="00945CB3" w:rsidRDefault="00945CB3" w:rsidP="00E3396E">
            <w:r>
              <w:t>Exclure</w:t>
            </w:r>
          </w:p>
        </w:tc>
      </w:tr>
      <w:tr w:rsidR="00945CB3" w:rsidTr="00945CB3">
        <w:trPr>
          <w:trHeight w:val="20"/>
        </w:trPr>
        <w:tc>
          <w:tcPr>
            <w:tcW w:w="2100" w:type="dxa"/>
            <w:tcBorders>
              <w:top w:val="nil"/>
              <w:left w:val="single" w:sz="8" w:space="0" w:color="FFFFFF"/>
              <w:bottom w:val="single" w:sz="8" w:space="0" w:color="FFFFFF"/>
              <w:right w:val="single" w:sz="8" w:space="0" w:color="FFFFFF"/>
            </w:tcBorders>
            <w:shd w:val="clear" w:color="auto" w:fill="CBCCCF"/>
            <w:tcMar>
              <w:top w:w="8" w:type="dxa"/>
              <w:left w:w="11" w:type="dxa"/>
              <w:bottom w:w="0" w:type="dxa"/>
              <w:right w:w="11" w:type="dxa"/>
            </w:tcMar>
            <w:vAlign w:val="center"/>
            <w:hideMark/>
          </w:tcPr>
          <w:p w:rsidR="00945CB3" w:rsidRDefault="00945CB3" w:rsidP="00E3396E">
            <w:proofErr w:type="spellStart"/>
            <w:r>
              <w:rPr>
                <w:b/>
                <w:bCs/>
              </w:rPr>
              <w:t>Tullow</w:t>
            </w:r>
            <w:proofErr w:type="spellEnd"/>
          </w:p>
        </w:tc>
        <w:tc>
          <w:tcPr>
            <w:tcW w:w="2854"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vAlign w:val="center"/>
            <w:hideMark/>
          </w:tcPr>
          <w:p w:rsidR="00945CB3" w:rsidRDefault="00945CB3" w:rsidP="00E3396E">
            <w:r>
              <w:t>Non-intégration</w:t>
            </w:r>
          </w:p>
        </w:tc>
      </w:tr>
      <w:tr w:rsidR="00945CB3" w:rsidTr="00945CB3">
        <w:trPr>
          <w:trHeight w:val="20"/>
        </w:trPr>
        <w:tc>
          <w:tcPr>
            <w:tcW w:w="2100" w:type="dxa"/>
            <w:tcBorders>
              <w:top w:val="nil"/>
              <w:left w:val="single" w:sz="8" w:space="0" w:color="FFFFFF"/>
              <w:bottom w:val="single" w:sz="8" w:space="0" w:color="FFFFFF"/>
              <w:right w:val="single" w:sz="8" w:space="0" w:color="FFFFFF"/>
            </w:tcBorders>
            <w:shd w:val="clear" w:color="auto" w:fill="E7E7E8"/>
            <w:tcMar>
              <w:top w:w="8" w:type="dxa"/>
              <w:left w:w="11" w:type="dxa"/>
              <w:bottom w:w="0" w:type="dxa"/>
              <w:right w:w="11" w:type="dxa"/>
            </w:tcMar>
            <w:vAlign w:val="center"/>
            <w:hideMark/>
          </w:tcPr>
          <w:p w:rsidR="00945CB3" w:rsidRDefault="00945CB3" w:rsidP="00E3396E">
            <w:r>
              <w:rPr>
                <w:b/>
                <w:bCs/>
              </w:rPr>
              <w:t>BP</w:t>
            </w:r>
          </w:p>
        </w:tc>
        <w:tc>
          <w:tcPr>
            <w:tcW w:w="2854"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vAlign w:val="center"/>
            <w:hideMark/>
          </w:tcPr>
          <w:p w:rsidR="00945CB3" w:rsidRDefault="00945CB3" w:rsidP="00E3396E">
            <w:r>
              <w:t>Non-intégration</w:t>
            </w:r>
          </w:p>
        </w:tc>
      </w:tr>
      <w:tr w:rsidR="00945CB3" w:rsidTr="00945CB3">
        <w:trPr>
          <w:trHeight w:val="20"/>
        </w:trPr>
        <w:tc>
          <w:tcPr>
            <w:tcW w:w="2100" w:type="dxa"/>
            <w:tcBorders>
              <w:top w:val="nil"/>
              <w:left w:val="single" w:sz="8" w:space="0" w:color="FFFFFF"/>
              <w:bottom w:val="single" w:sz="8" w:space="0" w:color="FFFFFF"/>
              <w:right w:val="single" w:sz="8" w:space="0" w:color="FFFFFF"/>
            </w:tcBorders>
            <w:shd w:val="clear" w:color="auto" w:fill="CBCCCF"/>
            <w:tcMar>
              <w:top w:w="8" w:type="dxa"/>
              <w:left w:w="11" w:type="dxa"/>
              <w:bottom w:w="0" w:type="dxa"/>
              <w:right w:w="11" w:type="dxa"/>
            </w:tcMar>
            <w:vAlign w:val="center"/>
            <w:hideMark/>
          </w:tcPr>
          <w:p w:rsidR="00945CB3" w:rsidRDefault="00945CB3" w:rsidP="00E3396E">
            <w:proofErr w:type="spellStart"/>
            <w:r>
              <w:rPr>
                <w:b/>
                <w:bCs/>
              </w:rPr>
              <w:t>Lundin</w:t>
            </w:r>
            <w:proofErr w:type="spellEnd"/>
          </w:p>
        </w:tc>
        <w:tc>
          <w:tcPr>
            <w:tcW w:w="2854"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vAlign w:val="center"/>
            <w:hideMark/>
          </w:tcPr>
          <w:p w:rsidR="00945CB3" w:rsidRDefault="00945CB3" w:rsidP="00E3396E">
            <w:r>
              <w:t>Non-intégration</w:t>
            </w:r>
          </w:p>
        </w:tc>
      </w:tr>
    </w:tbl>
    <w:p w:rsidR="00A262ED" w:rsidRDefault="00E3396E">
      <w:r>
        <w:t xml:space="preserve">Comité </w:t>
      </w:r>
      <w:proofErr w:type="gramStart"/>
      <w:r>
        <w:t>des gestion</w:t>
      </w:r>
      <w:proofErr w:type="gramEnd"/>
      <w:r>
        <w:t xml:space="preserve"> NS50 du 25 mars 2016 :</w:t>
      </w:r>
    </w:p>
    <w:p w:rsidR="00E3396E" w:rsidRDefault="00E3396E">
      <w:r>
        <w:t>Energie (Gaz et Pétrole)</w:t>
      </w:r>
    </w:p>
    <w:p w:rsidR="000E51D4" w:rsidRDefault="000E51D4"/>
    <w:p w:rsidR="000E51D4" w:rsidRDefault="000E51D4" w:rsidP="000E51D4">
      <w:pPr>
        <w:rPr>
          <w:b/>
          <w:u w:val="single"/>
        </w:rPr>
      </w:pPr>
    </w:p>
    <w:p w:rsidR="000E51D4" w:rsidRDefault="000E51D4" w:rsidP="000E51D4">
      <w:pPr>
        <w:rPr>
          <w:b/>
          <w:u w:val="single"/>
        </w:rPr>
      </w:pPr>
      <w:r>
        <w:rPr>
          <w:b/>
          <w:u w:val="single"/>
        </w:rPr>
        <w:t xml:space="preserve">Comité </w:t>
      </w:r>
      <w:proofErr w:type="spellStart"/>
      <w:r>
        <w:rPr>
          <w:b/>
          <w:u w:val="single"/>
        </w:rPr>
        <w:t>Meeschaert</w:t>
      </w:r>
      <w:proofErr w:type="spellEnd"/>
      <w:r>
        <w:rPr>
          <w:b/>
          <w:u w:val="single"/>
        </w:rPr>
        <w:t xml:space="preserve"> Secteur de l’Energie (Pétrole et Gaz) 25 03 2016</w:t>
      </w:r>
    </w:p>
    <w:p w:rsidR="000E51D4" w:rsidRDefault="000E51D4" w:rsidP="000E51D4">
      <w:pPr>
        <w:rPr>
          <w:b/>
          <w:u w:val="single"/>
        </w:rPr>
      </w:pPr>
    </w:p>
    <w:p w:rsidR="000E51D4" w:rsidRDefault="000E51D4" w:rsidP="000E51D4">
      <w:pPr>
        <w:rPr>
          <w:b/>
          <w:u w:val="single"/>
        </w:rPr>
      </w:pPr>
    </w:p>
    <w:p w:rsidR="000E51D4" w:rsidRDefault="000E51D4" w:rsidP="000E51D4"/>
    <w:p w:rsidR="000E51D4" w:rsidRDefault="000E51D4" w:rsidP="000E51D4"/>
    <w:p w:rsidR="000E51D4" w:rsidRDefault="000E51D4" w:rsidP="000E51D4"/>
    <w:p w:rsidR="000E51D4" w:rsidRDefault="000E51D4" w:rsidP="000E51D4"/>
    <w:p w:rsidR="000E51D4" w:rsidRDefault="000E51D4" w:rsidP="000E51D4"/>
    <w:p w:rsidR="000E51D4" w:rsidRDefault="000E51D4" w:rsidP="000E51D4"/>
    <w:p w:rsidR="000E51D4" w:rsidRDefault="000E51D4" w:rsidP="000E51D4"/>
    <w:p w:rsidR="000E51D4" w:rsidRDefault="000E51D4" w:rsidP="000E51D4"/>
    <w:p w:rsidR="000E51D4" w:rsidRDefault="000E51D4" w:rsidP="000E51D4"/>
    <w:p w:rsidR="000E51D4" w:rsidRDefault="000E51D4" w:rsidP="000E51D4"/>
    <w:p w:rsidR="000E51D4" w:rsidRDefault="000E51D4" w:rsidP="000E51D4"/>
    <w:p w:rsidR="000E51D4" w:rsidRDefault="000E51D4" w:rsidP="000E51D4"/>
    <w:p w:rsidR="000E51D4" w:rsidRDefault="000E51D4" w:rsidP="000E51D4"/>
    <w:p w:rsidR="000E51D4" w:rsidRDefault="000E51D4" w:rsidP="000E51D4"/>
    <w:p w:rsidR="000E51D4" w:rsidRDefault="000E51D4" w:rsidP="000E51D4"/>
    <w:p w:rsidR="000E51D4" w:rsidRDefault="000E51D4" w:rsidP="000E51D4"/>
    <w:p w:rsidR="000E51D4" w:rsidRDefault="000E51D4" w:rsidP="000E51D4"/>
    <w:p w:rsidR="000E51D4" w:rsidRDefault="000E51D4" w:rsidP="000E51D4"/>
    <w:p w:rsidR="000E51D4" w:rsidRDefault="000E51D4" w:rsidP="000E51D4"/>
    <w:p w:rsidR="000E51D4" w:rsidRDefault="000E51D4" w:rsidP="000E51D4">
      <w:r>
        <w:t>Les membres d’Ethique et Investissement ont participé,</w:t>
      </w:r>
      <w:r w:rsidRPr="00EB74C0">
        <w:t xml:space="preserve"> </w:t>
      </w:r>
      <w:r>
        <w:t xml:space="preserve">le 25 mars 2016, au comité </w:t>
      </w:r>
      <w:proofErr w:type="spellStart"/>
      <w:r>
        <w:t>Meeschaert</w:t>
      </w:r>
      <w:proofErr w:type="spellEnd"/>
      <w:r>
        <w:t xml:space="preserve"> destiné à la révision de l’univers </w:t>
      </w:r>
      <w:r w:rsidRPr="009422F1">
        <w:t>Secteur de l’Energie (Pétrole et</w:t>
      </w:r>
      <w:r w:rsidRPr="00EF3DFD">
        <w:rPr>
          <w:b/>
        </w:rPr>
        <w:t xml:space="preserve"> </w:t>
      </w:r>
      <w:r w:rsidRPr="00EF3DFD">
        <w:t>Gaz</w:t>
      </w:r>
      <w:r>
        <w:t>) pour le fonds Nouvelle Stratégie 50.</w:t>
      </w:r>
    </w:p>
    <w:p w:rsidR="000E51D4" w:rsidRDefault="000E51D4" w:rsidP="000E51D4"/>
    <w:p w:rsidR="000E51D4" w:rsidRDefault="000E51D4" w:rsidP="000E51D4">
      <w:r>
        <w:t xml:space="preserve">Nous avons étudié les entreprises suivantes : </w:t>
      </w:r>
      <w:proofErr w:type="spellStart"/>
      <w:r>
        <w:t>Repsol</w:t>
      </w:r>
      <w:proofErr w:type="spellEnd"/>
      <w:r>
        <w:t xml:space="preserve">, Total, ENI, </w:t>
      </w:r>
      <w:proofErr w:type="spellStart"/>
      <w:r>
        <w:t>Galp</w:t>
      </w:r>
      <w:proofErr w:type="spellEnd"/>
      <w:r>
        <w:t xml:space="preserve"> </w:t>
      </w:r>
      <w:proofErr w:type="spellStart"/>
      <w:r>
        <w:t>Energia</w:t>
      </w:r>
      <w:proofErr w:type="spellEnd"/>
      <w:r>
        <w:t xml:space="preserve">, OMV, Royal Dutch Shell, </w:t>
      </w:r>
      <w:proofErr w:type="spellStart"/>
      <w:proofErr w:type="gramStart"/>
      <w:r>
        <w:t>Neste</w:t>
      </w:r>
      <w:proofErr w:type="spellEnd"/>
      <w:r>
        <w:t xml:space="preserve"> ,</w:t>
      </w:r>
      <w:proofErr w:type="gramEnd"/>
      <w:r>
        <w:t xml:space="preserve"> </w:t>
      </w:r>
      <w:proofErr w:type="spellStart"/>
      <w:r>
        <w:t>Statoil</w:t>
      </w:r>
      <w:proofErr w:type="spellEnd"/>
      <w:r>
        <w:t>.</w:t>
      </w:r>
    </w:p>
    <w:p w:rsidR="000E51D4" w:rsidRDefault="000E51D4" w:rsidP="000E51D4"/>
    <w:p w:rsidR="000E51D4" w:rsidRDefault="000E51D4" w:rsidP="000E51D4">
      <w:r>
        <w:t xml:space="preserve">Ce secteur très concentré recouvre des sociétés qui opèrent dans l’exploration-production, le raffinage ou la distribution pour le pétrole ou le </w:t>
      </w:r>
      <w:proofErr w:type="gramStart"/>
      <w:r>
        <w:t>gaz .</w:t>
      </w:r>
      <w:proofErr w:type="gramEnd"/>
      <w:r>
        <w:t xml:space="preserve"> Suivant les cas elles agissent dans tous ces secteurs ou dans certains seulement .Il subit actuellement une baisse drastique du prix du brut due à un marché excédentaire, ce qui a pour effet de réduire de façon importante ses investissements et ses effectifs. Il est en même temps très exposé aux enjeux environnementaux : la baisse des émissions de CO2 dépend de la limitation de l’extraction de pétrole et de gaz. Le secteur est ainsi face à une campagne de désinvestissement de capitaux qui se reportent sur les énergies renouvelables.  Dans le même temps cette industrie présente des risques élevés en termes de pollution, de sécurité des personnes, de corruption, d’engagement local et de transparence fiscale.</w:t>
      </w:r>
    </w:p>
    <w:p w:rsidR="000E51D4" w:rsidRDefault="000E51D4" w:rsidP="000E51D4"/>
    <w:p w:rsidR="000E51D4" w:rsidRDefault="000E51D4" w:rsidP="000E51D4">
      <w:r>
        <w:t>Comment ce secteur répond-t-il aux objectifs de la charte d’Ethique et Investissement ? La politique sociale est bonne voire très bonne à l’exception d’une très grande entreprise. La gouvernance et l’engagement local sont aussi très bons à l’exception d’une ou deux entreprises. C’est beaucoup moins bien en matière d’environnement et de comportement sur les marchés, où plusieurs entreprises ont des notations assez basses. Concernant le respect des droits de l’homme, une seule grande entreprise est bien notée, les autres ayant des notes moyennes ou même pour certaines assez basses.</w:t>
      </w:r>
    </w:p>
    <w:p w:rsidR="000E51D4" w:rsidRDefault="000E51D4" w:rsidP="000E51D4"/>
    <w:p w:rsidR="000E51D4" w:rsidRDefault="000E51D4" w:rsidP="000E51D4">
      <w:r>
        <w:lastRenderedPageBreak/>
        <w:t xml:space="preserve">Les controverses sont très nombreuses et concernent pratiquement toutes les </w:t>
      </w:r>
      <w:proofErr w:type="gramStart"/>
      <w:r>
        <w:t>entreprises .</w:t>
      </w:r>
      <w:proofErr w:type="gramEnd"/>
      <w:r>
        <w:t xml:space="preserve"> Elles portent sur des problèmes de pollution, de </w:t>
      </w:r>
      <w:proofErr w:type="gramStart"/>
      <w:r>
        <w:t>corruption ,</w:t>
      </w:r>
      <w:proofErr w:type="gramEnd"/>
      <w:r>
        <w:t xml:space="preserve"> de pratiques anti-compétitives, de santé-sécurité ou de relations avec les communautés locales. Ainsi </w:t>
      </w:r>
      <w:proofErr w:type="gramStart"/>
      <w:r>
        <w:t>Total ,</w:t>
      </w:r>
      <w:proofErr w:type="gramEnd"/>
      <w:r>
        <w:t xml:space="preserve"> Royal Dutch Shell </w:t>
      </w:r>
    </w:p>
    <w:p w:rsidR="000E51D4" w:rsidRDefault="000E51D4" w:rsidP="000E51D4">
      <w:proofErr w:type="gramStart"/>
      <w:r>
        <w:t>et</w:t>
      </w:r>
      <w:proofErr w:type="gramEnd"/>
      <w:r>
        <w:t xml:space="preserve"> </w:t>
      </w:r>
      <w:proofErr w:type="spellStart"/>
      <w:r>
        <w:t>Statoil</w:t>
      </w:r>
      <w:proofErr w:type="spellEnd"/>
      <w:r>
        <w:t xml:space="preserve"> ont été condamnées à plusieurs reprises pour pratiques anti-compétitives. ENI, Total, Royal Dutch Shell et </w:t>
      </w:r>
      <w:proofErr w:type="spellStart"/>
      <w:r>
        <w:t>Statoil</w:t>
      </w:r>
      <w:proofErr w:type="spellEnd"/>
      <w:r>
        <w:t xml:space="preserve"> ont provoqué des pollutions graves dans plusieurs pays. </w:t>
      </w:r>
    </w:p>
    <w:p w:rsidR="000E51D4" w:rsidRDefault="000E51D4" w:rsidP="000E51D4">
      <w:proofErr w:type="spellStart"/>
      <w:r>
        <w:t>Neste</w:t>
      </w:r>
      <w:proofErr w:type="spellEnd"/>
      <w:r>
        <w:t xml:space="preserve"> enfin a une activité dans l’huile de palme qui génère de nombreuses controverses : accusations de déforestation et de travail forcé en Malaisie.</w:t>
      </w:r>
    </w:p>
    <w:p w:rsidR="000E51D4" w:rsidRDefault="000E51D4" w:rsidP="000E51D4"/>
    <w:p w:rsidR="000E51D4" w:rsidRDefault="000E51D4" w:rsidP="000E51D4"/>
    <w:p w:rsidR="000E51D4" w:rsidRDefault="000E51D4" w:rsidP="000E51D4"/>
    <w:sectPr w:rsidR="000E51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CC6" w:rsidRDefault="00966CC6" w:rsidP="00E3396E">
      <w:r>
        <w:separator/>
      </w:r>
    </w:p>
  </w:endnote>
  <w:endnote w:type="continuationSeparator" w:id="0">
    <w:p w:rsidR="00966CC6" w:rsidRDefault="00966CC6" w:rsidP="00E3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CC6" w:rsidRDefault="00966CC6" w:rsidP="00E3396E">
      <w:r>
        <w:separator/>
      </w:r>
    </w:p>
  </w:footnote>
  <w:footnote w:type="continuationSeparator" w:id="0">
    <w:p w:rsidR="00966CC6" w:rsidRDefault="00966CC6" w:rsidP="00E339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F47"/>
    <w:rsid w:val="000E51D4"/>
    <w:rsid w:val="002C4C0C"/>
    <w:rsid w:val="003F2F61"/>
    <w:rsid w:val="004D5C78"/>
    <w:rsid w:val="00945CB3"/>
    <w:rsid w:val="00966CC6"/>
    <w:rsid w:val="00A262ED"/>
    <w:rsid w:val="00E3396E"/>
    <w:rsid w:val="00E34F4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96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96E"/>
    <w:pPr>
      <w:tabs>
        <w:tab w:val="center" w:pos="4536"/>
        <w:tab w:val="right" w:pos="9072"/>
      </w:tabs>
    </w:pPr>
  </w:style>
  <w:style w:type="character" w:customStyle="1" w:styleId="HeaderChar">
    <w:name w:val="Header Char"/>
    <w:basedOn w:val="DefaultParagraphFont"/>
    <w:link w:val="Header"/>
    <w:uiPriority w:val="99"/>
    <w:rsid w:val="00E3396E"/>
    <w:rPr>
      <w:rFonts w:ascii="Calibri" w:hAnsi="Calibri" w:cs="Times New Roman"/>
    </w:rPr>
  </w:style>
  <w:style w:type="paragraph" w:styleId="Footer">
    <w:name w:val="footer"/>
    <w:basedOn w:val="Normal"/>
    <w:link w:val="FooterChar"/>
    <w:uiPriority w:val="99"/>
    <w:unhideWhenUsed/>
    <w:rsid w:val="00E3396E"/>
    <w:pPr>
      <w:tabs>
        <w:tab w:val="center" w:pos="4536"/>
        <w:tab w:val="right" w:pos="9072"/>
      </w:tabs>
    </w:pPr>
  </w:style>
  <w:style w:type="character" w:customStyle="1" w:styleId="FooterChar">
    <w:name w:val="Footer Char"/>
    <w:basedOn w:val="DefaultParagraphFont"/>
    <w:link w:val="Footer"/>
    <w:uiPriority w:val="99"/>
    <w:rsid w:val="00E3396E"/>
    <w:rPr>
      <w:rFonts w:ascii="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96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96E"/>
    <w:pPr>
      <w:tabs>
        <w:tab w:val="center" w:pos="4536"/>
        <w:tab w:val="right" w:pos="9072"/>
      </w:tabs>
    </w:pPr>
  </w:style>
  <w:style w:type="character" w:customStyle="1" w:styleId="HeaderChar">
    <w:name w:val="Header Char"/>
    <w:basedOn w:val="DefaultParagraphFont"/>
    <w:link w:val="Header"/>
    <w:uiPriority w:val="99"/>
    <w:rsid w:val="00E3396E"/>
    <w:rPr>
      <w:rFonts w:ascii="Calibri" w:hAnsi="Calibri" w:cs="Times New Roman"/>
    </w:rPr>
  </w:style>
  <w:style w:type="paragraph" w:styleId="Footer">
    <w:name w:val="footer"/>
    <w:basedOn w:val="Normal"/>
    <w:link w:val="FooterChar"/>
    <w:uiPriority w:val="99"/>
    <w:unhideWhenUsed/>
    <w:rsid w:val="00E3396E"/>
    <w:pPr>
      <w:tabs>
        <w:tab w:val="center" w:pos="4536"/>
        <w:tab w:val="right" w:pos="9072"/>
      </w:tabs>
    </w:pPr>
  </w:style>
  <w:style w:type="character" w:customStyle="1" w:styleId="FooterChar">
    <w:name w:val="Footer Char"/>
    <w:basedOn w:val="DefaultParagraphFont"/>
    <w:link w:val="Footer"/>
    <w:uiPriority w:val="99"/>
    <w:rsid w:val="00E3396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84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2410</Characters>
  <Application>Microsoft Macintosh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Agathe David</dc:creator>
  <cp:lastModifiedBy>claire de Nicolay</cp:lastModifiedBy>
  <cp:revision>2</cp:revision>
  <dcterms:created xsi:type="dcterms:W3CDTF">2018-11-06T21:23:00Z</dcterms:created>
  <dcterms:modified xsi:type="dcterms:W3CDTF">2018-11-06T21:23:00Z</dcterms:modified>
</cp:coreProperties>
</file>