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BF" w:rsidRDefault="00E730BF"/>
    <w:sectPr w:rsidR="00E730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E6" w:rsidRDefault="007613E6" w:rsidP="000E5B31">
      <w:pPr>
        <w:spacing w:after="0" w:line="240" w:lineRule="auto"/>
      </w:pPr>
      <w:r>
        <w:separator/>
      </w:r>
    </w:p>
  </w:endnote>
  <w:endnote w:type="continuationSeparator" w:id="0">
    <w:p w:rsidR="007613E6" w:rsidRDefault="007613E6" w:rsidP="000E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E6" w:rsidRDefault="007613E6" w:rsidP="000E5B31">
      <w:pPr>
        <w:spacing w:after="0" w:line="240" w:lineRule="auto"/>
      </w:pPr>
      <w:r>
        <w:separator/>
      </w:r>
    </w:p>
  </w:footnote>
  <w:footnote w:type="continuationSeparator" w:id="0">
    <w:p w:rsidR="007613E6" w:rsidRDefault="007613E6" w:rsidP="000E5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rsidP="000E5B31">
    <w:pPr>
      <w:rPr>
        <w:color w:val="1F497D"/>
      </w:rPr>
    </w:pPr>
  </w:p>
  <w:p w:rsidR="00FC18E4" w:rsidRDefault="00FC18E4" w:rsidP="00FC18E4">
    <w:pPr>
      <w:rPr>
        <w:b/>
        <w:u w:val="single"/>
      </w:rPr>
    </w:pPr>
  </w:p>
  <w:p w:rsidR="00FC18E4" w:rsidRDefault="00FC18E4" w:rsidP="00FC18E4">
    <w:r>
      <w:t xml:space="preserve">Les membres d’Ethique et Investissement ont participé, le 12 janvier 2016, au comité </w:t>
    </w:r>
    <w:proofErr w:type="spellStart"/>
    <w:r>
      <w:t>Meeschaert</w:t>
    </w:r>
    <w:proofErr w:type="spellEnd"/>
    <w:r>
      <w:t xml:space="preserve"> destiné à la révision de l’univers Mines et Métaux pour le fonds Nouvelle Stratégie 50.</w:t>
    </w:r>
  </w:p>
  <w:p w:rsidR="00FC18E4" w:rsidRDefault="00FC18E4" w:rsidP="00FC18E4"/>
  <w:p w:rsidR="00FC18E4" w:rsidRDefault="00FC18E4" w:rsidP="00FC18E4">
    <w:r>
      <w:t xml:space="preserve">Nous avons étudié les entreprises suivantes : Arcelor Mittal, Norsk Hydro, Vallourec, </w:t>
    </w:r>
    <w:proofErr w:type="spellStart"/>
    <w:r>
      <w:t>Anglo</w:t>
    </w:r>
    <w:proofErr w:type="spellEnd"/>
    <w:r>
      <w:t xml:space="preserve"> American, </w:t>
    </w:r>
    <w:proofErr w:type="spellStart"/>
    <w:proofErr w:type="gramStart"/>
    <w:r>
      <w:t>Aperam</w:t>
    </w:r>
    <w:proofErr w:type="spellEnd"/>
    <w:r>
      <w:t xml:space="preserve"> ,</w:t>
    </w:r>
    <w:proofErr w:type="gramEnd"/>
    <w:r>
      <w:t xml:space="preserve"> </w:t>
    </w:r>
    <w:proofErr w:type="spellStart"/>
    <w:r>
      <w:t>Imerys</w:t>
    </w:r>
    <w:proofErr w:type="spellEnd"/>
    <w:r>
      <w:t xml:space="preserve"> , </w:t>
    </w:r>
    <w:proofErr w:type="spellStart"/>
    <w:r>
      <w:t>Antofastaga</w:t>
    </w:r>
    <w:proofErr w:type="spellEnd"/>
    <w:r>
      <w:t xml:space="preserve">, BHP Billiton, </w:t>
    </w:r>
    <w:proofErr w:type="spellStart"/>
    <w:r>
      <w:t>Glencore</w:t>
    </w:r>
    <w:proofErr w:type="spellEnd"/>
    <w:r>
      <w:t xml:space="preserve"> PLC, Rio Tinto, </w:t>
    </w:r>
    <w:proofErr w:type="spellStart"/>
    <w:r>
      <w:t>Boliden</w:t>
    </w:r>
    <w:proofErr w:type="spellEnd"/>
    <w:r>
      <w:t xml:space="preserve">, </w:t>
    </w:r>
    <w:proofErr w:type="spellStart"/>
    <w:r>
      <w:t>Fresnillo</w:t>
    </w:r>
    <w:proofErr w:type="spellEnd"/>
    <w:r>
      <w:t xml:space="preserve">, </w:t>
    </w:r>
    <w:proofErr w:type="spellStart"/>
    <w:r>
      <w:t>Outokumpu</w:t>
    </w:r>
    <w:proofErr w:type="spellEnd"/>
    <w:r>
      <w:t xml:space="preserve"> et </w:t>
    </w:r>
    <w:proofErr w:type="spellStart"/>
    <w:r>
      <w:t>Randgold</w:t>
    </w:r>
    <w:proofErr w:type="spellEnd"/>
    <w:r>
      <w:t xml:space="preserve"> Ressources.</w:t>
    </w:r>
  </w:p>
  <w:p w:rsidR="00FC18E4" w:rsidRDefault="00FC18E4" w:rsidP="00FC18E4"/>
  <w:p w:rsidR="00FC18E4" w:rsidRDefault="00FC18E4" w:rsidP="00FC18E4">
    <w:r>
      <w:t xml:space="preserve">Ce secteur très </w:t>
    </w:r>
    <w:proofErr w:type="spellStart"/>
    <w:r>
      <w:t>concenté</w:t>
    </w:r>
    <w:proofErr w:type="spellEnd"/>
    <w:r>
      <w:t xml:space="preserve"> recouvre des sociétés détentrices de gisements </w:t>
    </w:r>
    <w:proofErr w:type="gramStart"/>
    <w:r>
      <w:t>miniers ,extrayant</w:t>
    </w:r>
    <w:proofErr w:type="gramEnd"/>
    <w:r>
      <w:t xml:space="preserve"> minerais , terres rares, diamants et pierres précieuses et ,dans certains cas, transformant ces minerais en produits semi-finis et finis .C’est un secteur très cyclique, qui dépend fortement de l’activité économique </w:t>
    </w:r>
    <w:proofErr w:type="spellStart"/>
    <w:r>
      <w:t>globale.Il</w:t>
    </w:r>
    <w:proofErr w:type="spellEnd"/>
    <w:r>
      <w:t xml:space="preserve"> est actuellement très touché par le ralentissement chinois, la Chine étant d’ailleurs détentrice de grandes réserves de minerais. Il est fortement concerné par des thèmes ESG essentiels : Respect des sols, de l’air et de l’eau, respect de la santé et de la sécurité de son personnel et risque de corruption en raison de son implication  avec les autorités publiques. A l’inverse ce secteur peut avoir un impact positif important sur le développement des territoires et des bassins </w:t>
    </w:r>
    <w:proofErr w:type="gramStart"/>
    <w:r>
      <w:t>d’emploi ,</w:t>
    </w:r>
    <w:proofErr w:type="gramEnd"/>
    <w:r>
      <w:t xml:space="preserve"> ainsi que sur le recyclage des matériaux.</w:t>
    </w:r>
  </w:p>
  <w:p w:rsidR="00FC18E4" w:rsidRDefault="00FC18E4" w:rsidP="00FC18E4"/>
  <w:p w:rsidR="00FC18E4" w:rsidRDefault="00FC18E4" w:rsidP="00FC18E4">
    <w:r>
      <w:t xml:space="preserve">Comment ce secteur répond-t-il aux objectifs de la charte d’Ethique et Investissement ? A deux exceptions près, la gouvernance est très bonne, ce qui n’est pas le cas pour le comportement sur les marchés, sauf pour deux importantes entreprises. Pour le social la situation est contrastée, une petite moitié est performante, alors que l’autre moitié est </w:t>
    </w:r>
    <w:proofErr w:type="spellStart"/>
    <w:r>
      <w:t>problèmatique</w:t>
    </w:r>
    <w:proofErr w:type="spellEnd"/>
    <w:r>
      <w:t xml:space="preserve"> .Pour les droits de l’homme et l’engagement local, deux ou trois entreprises sont </w:t>
    </w:r>
    <w:proofErr w:type="gramStart"/>
    <w:r>
      <w:t>performantes ,</w:t>
    </w:r>
    <w:proofErr w:type="gramEnd"/>
    <w:r>
      <w:t xml:space="preserve"> mais les autres sont à un bas </w:t>
    </w:r>
    <w:proofErr w:type="spellStart"/>
    <w:r>
      <w:t>niveau.Mais</w:t>
    </w:r>
    <w:proofErr w:type="spellEnd"/>
    <w:r>
      <w:t xml:space="preserve"> c’est dans le domaine de l’environnement que les plus gros progrès sont à réaliser, toutes les entreprises sont à un niveau très moyen.</w:t>
    </w:r>
  </w:p>
  <w:p w:rsidR="00FC18E4" w:rsidRDefault="00FC18E4" w:rsidP="00FC18E4"/>
  <w:p w:rsidR="00FC18E4" w:rsidRDefault="00FC18E4" w:rsidP="00FC18E4">
    <w:r>
      <w:t xml:space="preserve">Les controverses sont très nombreuses et concernent pratiquement toutes les entreprises .Elles portent principalement sur des problèmes d’environnement et d’impact local, ainsi que sur des problèmes sociaux. </w:t>
    </w:r>
    <w:proofErr w:type="spellStart"/>
    <w:r>
      <w:t>Anglo</w:t>
    </w:r>
    <w:proofErr w:type="spellEnd"/>
    <w:r>
      <w:t xml:space="preserve"> American a dû réintégrer 12000 mineurs licenciés après de violents affrontements avec la police et un mort et est accusé par ailleurs de plusieurs déversements de produits nocifs en Australie et au Brésil et en Afrique du </w:t>
    </w:r>
    <w:proofErr w:type="gramStart"/>
    <w:r>
      <w:t>Sud .</w:t>
    </w:r>
    <w:proofErr w:type="gramEnd"/>
    <w:r>
      <w:t xml:space="preserve"> Rio Tinto fait l’objet de nombreuses controverses sur la sécurité de ses employés, en Australie, en Indonésie et en Colombie Britannique. Citons enfin </w:t>
    </w:r>
    <w:proofErr w:type="spellStart"/>
    <w:r>
      <w:t>Glencore</w:t>
    </w:r>
    <w:proofErr w:type="spellEnd"/>
    <w:r>
      <w:t xml:space="preserve"> qui a enregistré en 2013 26 accidents mortels.</w:t>
    </w:r>
  </w:p>
  <w:p w:rsidR="00FC18E4" w:rsidRDefault="00FC18E4" w:rsidP="000E5B31">
    <w:pPr>
      <w:rPr>
        <w:color w:val="1F497D"/>
      </w:rPr>
    </w:pPr>
    <w:bookmarkStart w:id="0" w:name="_GoBack"/>
    <w:bookmarkEnd w:id="0"/>
  </w:p>
  <w:tbl>
    <w:tblPr>
      <w:tblW w:w="5662" w:type="dxa"/>
      <w:tblCellMar>
        <w:left w:w="0" w:type="dxa"/>
        <w:right w:w="0" w:type="dxa"/>
      </w:tblCellMar>
      <w:tblLook w:val="04A0" w:firstRow="1" w:lastRow="0" w:firstColumn="1" w:lastColumn="0" w:noHBand="0" w:noVBand="1"/>
    </w:tblPr>
    <w:tblGrid>
      <w:gridCol w:w="2497"/>
      <w:gridCol w:w="3165"/>
    </w:tblGrid>
    <w:tr w:rsidR="00FC18E4" w:rsidTr="00FC18E4">
      <w:trPr>
        <w:trHeight w:val="309"/>
      </w:trPr>
      <w:tc>
        <w:tcPr>
          <w:tcW w:w="2497" w:type="dxa"/>
          <w:tcBorders>
            <w:top w:val="single" w:sz="8" w:space="0" w:color="FFFFFF"/>
            <w:left w:val="single" w:sz="8" w:space="0" w:color="FFFFFF"/>
            <w:bottom w:val="single" w:sz="24" w:space="0" w:color="FFFFFF"/>
            <w:right w:val="single" w:sz="8" w:space="0" w:color="FFFFFF"/>
          </w:tcBorders>
          <w:shd w:val="clear" w:color="auto" w:fill="041E41"/>
          <w:tcMar>
            <w:top w:w="72" w:type="dxa"/>
            <w:left w:w="144" w:type="dxa"/>
            <w:bottom w:w="72" w:type="dxa"/>
            <w:right w:w="144" w:type="dxa"/>
          </w:tcMar>
          <w:hideMark/>
        </w:tcPr>
        <w:p w:rsidR="00FC18E4" w:rsidRDefault="00FC18E4">
          <w:pPr>
            <w:rPr>
              <w:rFonts w:ascii="Times New Roman" w:eastAsia="Times New Roman" w:hAnsi="Times New Roman"/>
              <w:sz w:val="20"/>
              <w:szCs w:val="20"/>
              <w:lang w:eastAsia="fr-FR"/>
            </w:rPr>
          </w:pPr>
        </w:p>
      </w:tc>
      <w:tc>
        <w:tcPr>
          <w:tcW w:w="3165" w:type="dxa"/>
          <w:tcBorders>
            <w:top w:val="single" w:sz="8" w:space="0" w:color="FFFFFF"/>
            <w:left w:val="nil"/>
            <w:bottom w:val="single" w:sz="24" w:space="0" w:color="FFFFFF"/>
            <w:right w:val="single" w:sz="8" w:space="0" w:color="FFFFFF"/>
          </w:tcBorders>
          <w:shd w:val="clear" w:color="auto" w:fill="041E41"/>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b/>
              <w:bCs/>
              <w:color w:val="FFFFFF"/>
              <w:sz w:val="20"/>
              <w:szCs w:val="20"/>
              <w:lang w:eastAsia="fr-FR"/>
            </w:rPr>
            <w:t>Éthique &amp; Investissement</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proofErr w:type="spellStart"/>
          <w:r>
            <w:rPr>
              <w:rFonts w:ascii="Arial" w:hAnsi="Arial" w:cs="Arial"/>
              <w:b/>
              <w:bCs/>
              <w:color w:val="041E41"/>
              <w:sz w:val="20"/>
              <w:szCs w:val="20"/>
              <w:lang w:eastAsia="fr-FR"/>
            </w:rPr>
            <w:t>ArcelorMittal</w:t>
          </w:r>
          <w:proofErr w:type="spellEnd"/>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F6A800"/>
              <w:sz w:val="20"/>
              <w:szCs w:val="20"/>
              <w:lang w:eastAsia="fr-FR"/>
            </w:rPr>
            <w:t>Norsk Hydro</w:t>
          </w:r>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Conserver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F6A800"/>
              <w:sz w:val="20"/>
              <w:szCs w:val="20"/>
              <w:lang w:eastAsia="fr-FR"/>
            </w:rPr>
            <w:t>Vallourec</w:t>
          </w:r>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Conserver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proofErr w:type="spellStart"/>
          <w:r>
            <w:rPr>
              <w:rFonts w:ascii="Arial" w:hAnsi="Arial" w:cs="Arial"/>
              <w:b/>
              <w:bCs/>
              <w:color w:val="041E41"/>
              <w:sz w:val="20"/>
              <w:szCs w:val="20"/>
              <w:lang w:eastAsia="fr-FR"/>
            </w:rPr>
            <w:t>Anglo</w:t>
          </w:r>
          <w:proofErr w:type="spellEnd"/>
          <w:r>
            <w:rPr>
              <w:rFonts w:ascii="Arial" w:hAnsi="Arial" w:cs="Arial"/>
              <w:b/>
              <w:bCs/>
              <w:color w:val="041E41"/>
              <w:sz w:val="20"/>
              <w:szCs w:val="20"/>
              <w:lang w:eastAsia="fr-FR"/>
            </w:rPr>
            <w:t xml:space="preserve"> American *</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F6A800"/>
              <w:sz w:val="20"/>
              <w:szCs w:val="20"/>
              <w:lang w:eastAsia="fr-FR"/>
            </w:rPr>
            <w:t>APERAM</w:t>
          </w:r>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Conserver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proofErr w:type="spellStart"/>
          <w:r>
            <w:rPr>
              <w:rFonts w:ascii="Arial" w:hAnsi="Arial" w:cs="Arial"/>
              <w:b/>
              <w:bCs/>
              <w:color w:val="F6A800"/>
              <w:sz w:val="20"/>
              <w:szCs w:val="20"/>
              <w:lang w:eastAsia="fr-FR"/>
            </w:rPr>
            <w:t>Imerys</w:t>
          </w:r>
          <w:proofErr w:type="spellEnd"/>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En attente des informations du Conseil éthique CCFD</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Antofagasta HDG.</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BHP Billiton PLC</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proofErr w:type="spellStart"/>
          <w:r>
            <w:rPr>
              <w:rFonts w:ascii="Arial" w:hAnsi="Arial" w:cs="Arial"/>
              <w:b/>
              <w:bCs/>
              <w:color w:val="041E41"/>
              <w:sz w:val="20"/>
              <w:szCs w:val="20"/>
              <w:lang w:eastAsia="fr-FR"/>
            </w:rPr>
            <w:t>Glencore</w:t>
          </w:r>
          <w:proofErr w:type="spellEnd"/>
          <w:r>
            <w:rPr>
              <w:rFonts w:ascii="Arial" w:hAnsi="Arial" w:cs="Arial"/>
              <w:b/>
              <w:bCs/>
              <w:color w:val="041E41"/>
              <w:sz w:val="20"/>
              <w:szCs w:val="20"/>
              <w:lang w:eastAsia="fr-FR"/>
            </w:rPr>
            <w:t xml:space="preserve"> PLC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Rio Tinto</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BOLIDEN</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FRESNILLO</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proofErr w:type="spellStart"/>
          <w:r>
            <w:rPr>
              <w:rFonts w:ascii="Arial" w:hAnsi="Arial" w:cs="Arial"/>
              <w:b/>
              <w:bCs/>
              <w:color w:val="F6A800"/>
              <w:sz w:val="20"/>
              <w:szCs w:val="20"/>
              <w:lang w:eastAsia="fr-FR"/>
            </w:rPr>
            <w:t>Outokumpu</w:t>
          </w:r>
          <w:proofErr w:type="spellEnd"/>
          <w:r>
            <w:rPr>
              <w:rFonts w:ascii="Arial" w:hAnsi="Arial" w:cs="Arial"/>
              <w:b/>
              <w:bCs/>
              <w:color w:val="F6A800"/>
              <w:sz w:val="20"/>
              <w:szCs w:val="20"/>
              <w:lang w:eastAsia="fr-FR"/>
            </w:rPr>
            <w:t xml:space="preserve"> </w:t>
          </w:r>
          <w:proofErr w:type="spellStart"/>
          <w:r>
            <w:rPr>
              <w:rFonts w:ascii="Arial" w:hAnsi="Arial" w:cs="Arial"/>
              <w:b/>
              <w:bCs/>
              <w:color w:val="F6A800"/>
              <w:sz w:val="20"/>
              <w:szCs w:val="20"/>
              <w:lang w:eastAsia="fr-FR"/>
            </w:rPr>
            <w:t>Oyj</w:t>
          </w:r>
          <w:proofErr w:type="spellEnd"/>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Conserver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proofErr w:type="spellStart"/>
          <w:r>
            <w:rPr>
              <w:rFonts w:ascii="Arial" w:hAnsi="Arial" w:cs="Arial"/>
              <w:b/>
              <w:bCs/>
              <w:color w:val="041E41"/>
              <w:sz w:val="20"/>
              <w:szCs w:val="20"/>
              <w:lang w:eastAsia="fr-FR"/>
            </w:rPr>
            <w:t>Randgold</w:t>
          </w:r>
          <w:proofErr w:type="spellEnd"/>
          <w:r>
            <w:rPr>
              <w:rFonts w:ascii="Arial" w:hAnsi="Arial" w:cs="Arial"/>
              <w:b/>
              <w:bCs/>
              <w:color w:val="041E41"/>
              <w:sz w:val="20"/>
              <w:szCs w:val="20"/>
              <w:lang w:eastAsia="fr-FR"/>
            </w:rPr>
            <w:t xml:space="preserve"> </w:t>
          </w:r>
          <w:proofErr w:type="spellStart"/>
          <w:r>
            <w:rPr>
              <w:rFonts w:ascii="Arial" w:hAnsi="Arial" w:cs="Arial"/>
              <w:b/>
              <w:bCs/>
              <w:color w:val="041E41"/>
              <w:sz w:val="20"/>
              <w:szCs w:val="20"/>
              <w:lang w:eastAsia="fr-FR"/>
            </w:rPr>
            <w:t>Resources</w:t>
          </w:r>
          <w:proofErr w:type="spellEnd"/>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bl>
  <w:p w:rsidR="000E5B31" w:rsidRDefault="000E5B31" w:rsidP="000E5B31">
    <w:pPr>
      <w:rPr>
        <w:rFonts w:ascii="Calibri" w:hAnsi="Calibri"/>
        <w:color w:val="1F497D"/>
      </w:rPr>
    </w:pPr>
  </w:p>
  <w:p w:rsidR="000E5B31" w:rsidRDefault="000E5B31" w:rsidP="000E5B31">
    <w:pPr>
      <w:rPr>
        <w:color w:val="1F497D"/>
      </w:rPr>
    </w:pPr>
    <w:r>
      <w:rPr>
        <w:color w:val="1F497D"/>
      </w:rPr>
      <w:t>Je vous confirme par ailleurs que le prochain comité de gestion ISR portera bien sur le secteur de la chimie et aura lieu le 19 janvier.</w:t>
    </w:r>
  </w:p>
  <w:p w:rsidR="000E5B31" w:rsidRDefault="000E5B31" w:rsidP="000E5B31">
    <w:pPr>
      <w:rPr>
        <w:color w:val="1F497D"/>
      </w:rPr>
    </w:pPr>
  </w:p>
  <w:p w:rsidR="000E5B31" w:rsidRDefault="000E5B31" w:rsidP="000E5B31">
    <w:pPr>
      <w:rPr>
        <w:color w:val="1F497D"/>
      </w:rPr>
    </w:pPr>
    <w:r>
      <w:rPr>
        <w:color w:val="1F497D"/>
      </w:rPr>
      <w:t>Bien cordialement,</w:t>
    </w:r>
  </w:p>
  <w:p w:rsidR="000E5B31" w:rsidRDefault="000E5B31" w:rsidP="000E5B31">
    <w:pPr>
      <w:rPr>
        <w:color w:val="1F497D"/>
      </w:rPr>
    </w:pPr>
    <w:r>
      <w:rPr>
        <w:color w:val="1F497D"/>
      </w:rPr>
      <w:t xml:space="preserve">Laura </w:t>
    </w:r>
  </w:p>
  <w:p w:rsidR="000E5B31" w:rsidRDefault="000E5B31" w:rsidP="000E5B31">
    <w:pPr>
      <w:rPr>
        <w:color w:val="1F497D"/>
      </w:rPr>
    </w:pPr>
  </w:p>
  <w:p w:rsidR="000E5B31" w:rsidRDefault="000E5B31" w:rsidP="000E5B31">
    <w:pPr>
      <w:rPr>
        <w:color w:val="1F497D"/>
        <w:lang w:eastAsia="fr-FR"/>
      </w:rPr>
    </w:pPr>
  </w:p>
  <w:p w:rsidR="000E5B31" w:rsidRDefault="000E5B31" w:rsidP="000E5B31">
    <w:pPr>
      <w:rPr>
        <w:color w:val="1F497D"/>
        <w:lang w:eastAsia="fr-FR"/>
      </w:rPr>
    </w:pPr>
    <w:r>
      <w:rPr>
        <w:noProof/>
        <w:color w:val="1F497D"/>
        <w:lang w:eastAsia="fr-FR"/>
      </w:rPr>
      <w:drawing>
        <wp:inline distT="0" distB="0" distL="0" distR="0">
          <wp:extent cx="4495800" cy="847725"/>
          <wp:effectExtent l="0" t="0" r="0" b="9525"/>
          <wp:docPr id="1" name="Imag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95800" cy="847725"/>
                  </a:xfrm>
                  <a:prstGeom prst="rect">
                    <a:avLst/>
                  </a:prstGeom>
                  <a:noFill/>
                  <a:ln>
                    <a:noFill/>
                  </a:ln>
                </pic:spPr>
              </pic:pic>
            </a:graphicData>
          </a:graphic>
        </wp:inline>
      </w:drawing>
    </w:r>
  </w:p>
  <w:p w:rsidR="000E5B31" w:rsidRDefault="000E5B3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31"/>
    <w:rsid w:val="000E5B31"/>
    <w:rsid w:val="007409E5"/>
    <w:rsid w:val="007613E6"/>
    <w:rsid w:val="00E730BF"/>
    <w:rsid w:val="00FC18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5B31"/>
    <w:pPr>
      <w:tabs>
        <w:tab w:val="center" w:pos="4536"/>
        <w:tab w:val="right" w:pos="9072"/>
      </w:tabs>
      <w:spacing w:after="0" w:line="240" w:lineRule="auto"/>
    </w:pPr>
  </w:style>
  <w:style w:type="character" w:customStyle="1" w:styleId="En-tteCar">
    <w:name w:val="En-tête Car"/>
    <w:basedOn w:val="Policepardfaut"/>
    <w:link w:val="En-tte"/>
    <w:uiPriority w:val="99"/>
    <w:rsid w:val="000E5B31"/>
  </w:style>
  <w:style w:type="paragraph" w:styleId="Pieddepage">
    <w:name w:val="footer"/>
    <w:basedOn w:val="Normal"/>
    <w:link w:val="PieddepageCar"/>
    <w:uiPriority w:val="99"/>
    <w:unhideWhenUsed/>
    <w:rsid w:val="000E5B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5B31"/>
    <w:pPr>
      <w:tabs>
        <w:tab w:val="center" w:pos="4536"/>
        <w:tab w:val="right" w:pos="9072"/>
      </w:tabs>
      <w:spacing w:after="0" w:line="240" w:lineRule="auto"/>
    </w:pPr>
  </w:style>
  <w:style w:type="character" w:customStyle="1" w:styleId="En-tteCar">
    <w:name w:val="En-tête Car"/>
    <w:basedOn w:val="Policepardfaut"/>
    <w:link w:val="En-tte"/>
    <w:uiPriority w:val="99"/>
    <w:rsid w:val="000E5B31"/>
  </w:style>
  <w:style w:type="paragraph" w:styleId="Pieddepage">
    <w:name w:val="footer"/>
    <w:basedOn w:val="Normal"/>
    <w:link w:val="PieddepageCar"/>
    <w:uiPriority w:val="99"/>
    <w:unhideWhenUsed/>
    <w:rsid w:val="000E5B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5079">
      <w:bodyDiv w:val="1"/>
      <w:marLeft w:val="0"/>
      <w:marRight w:val="0"/>
      <w:marTop w:val="0"/>
      <w:marBottom w:val="0"/>
      <w:divBdr>
        <w:top w:val="none" w:sz="0" w:space="0" w:color="auto"/>
        <w:left w:val="none" w:sz="0" w:space="0" w:color="auto"/>
        <w:bottom w:val="none" w:sz="0" w:space="0" w:color="auto"/>
        <w:right w:val="none" w:sz="0" w:space="0" w:color="auto"/>
      </w:divBdr>
    </w:div>
    <w:div w:id="14693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D14D50.49586FB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 David</dc:creator>
  <cp:lastModifiedBy>Agathe David</cp:lastModifiedBy>
  <cp:revision>2</cp:revision>
  <dcterms:created xsi:type="dcterms:W3CDTF">2016-01-14T08:23:00Z</dcterms:created>
  <dcterms:modified xsi:type="dcterms:W3CDTF">2016-04-04T10:39:00Z</dcterms:modified>
</cp:coreProperties>
</file>