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BE" w:rsidRDefault="002D27BE" w:rsidP="002D27BE">
      <w:pPr>
        <w:rPr>
          <w:b/>
          <w:u w:val="single"/>
        </w:rPr>
      </w:pPr>
    </w:p>
    <w:p w:rsidR="002D27BE" w:rsidRDefault="002D27BE" w:rsidP="002D27BE">
      <w:pPr>
        <w:rPr>
          <w:b/>
          <w:u w:val="single"/>
        </w:rPr>
      </w:pPr>
      <w:r>
        <w:rPr>
          <w:b/>
          <w:u w:val="single"/>
        </w:rPr>
        <w:t xml:space="preserve">Comité </w:t>
      </w:r>
      <w:proofErr w:type="spellStart"/>
      <w:r>
        <w:rPr>
          <w:b/>
          <w:u w:val="single"/>
        </w:rPr>
        <w:t>Meeschaert</w:t>
      </w:r>
      <w:proofErr w:type="spellEnd"/>
      <w:r>
        <w:rPr>
          <w:b/>
          <w:u w:val="single"/>
        </w:rPr>
        <w:t xml:space="preserve"> </w:t>
      </w:r>
      <w:r w:rsidR="007F1EEC">
        <w:rPr>
          <w:b/>
          <w:u w:val="single"/>
        </w:rPr>
        <w:t>Banques</w:t>
      </w:r>
      <w:r w:rsidR="00043FDA">
        <w:rPr>
          <w:b/>
          <w:u w:val="single"/>
        </w:rPr>
        <w:t xml:space="preserve"> diversifiées 8 11</w:t>
      </w:r>
      <w:r w:rsidR="007F1EEC">
        <w:rPr>
          <w:b/>
          <w:u w:val="single"/>
        </w:rPr>
        <w:t xml:space="preserve"> </w:t>
      </w:r>
      <w:r w:rsidR="00D0532E">
        <w:rPr>
          <w:b/>
          <w:u w:val="single"/>
        </w:rPr>
        <w:t>2016</w:t>
      </w:r>
    </w:p>
    <w:p w:rsidR="003F3AA5" w:rsidRDefault="003F3AA5" w:rsidP="002D27BE">
      <w:pPr>
        <w:rPr>
          <w:b/>
          <w:u w:val="single"/>
        </w:rPr>
      </w:pPr>
    </w:p>
    <w:p w:rsidR="003F3AA5" w:rsidRPr="00E42C2E" w:rsidRDefault="003F3AA5" w:rsidP="002D27BE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D27BE" w:rsidRDefault="002D27BE" w:rsidP="002D27BE">
      <w:pPr>
        <w:rPr>
          <w:b/>
          <w:u w:val="single"/>
        </w:rPr>
      </w:pPr>
    </w:p>
    <w:p w:rsidR="002D27BE" w:rsidRDefault="002D27BE" w:rsidP="002D27BE">
      <w:pPr>
        <w:rPr>
          <w:b/>
          <w:u w:val="single"/>
        </w:rPr>
      </w:pPr>
    </w:p>
    <w:p w:rsidR="002D27BE" w:rsidRDefault="002D27BE" w:rsidP="002D27BE">
      <w:r>
        <w:t>Les membres d’</w:t>
      </w:r>
      <w:proofErr w:type="spellStart"/>
      <w:r>
        <w:t>Ethique</w:t>
      </w:r>
      <w:proofErr w:type="spellEnd"/>
      <w:r>
        <w:t xml:space="preserve"> et Investissement ont participé</w:t>
      </w:r>
      <w:r w:rsidR="00EB74C0">
        <w:t>,</w:t>
      </w:r>
      <w:r w:rsidR="00EB74C0" w:rsidRPr="00EB74C0">
        <w:t xml:space="preserve"> </w:t>
      </w:r>
      <w:r w:rsidR="00EB74C0">
        <w:t xml:space="preserve">le </w:t>
      </w:r>
      <w:r w:rsidR="00043FDA">
        <w:t>8 novembre</w:t>
      </w:r>
      <w:r w:rsidR="00EB74C0">
        <w:t xml:space="preserve"> 2016,</w:t>
      </w:r>
      <w:r>
        <w:t xml:space="preserve"> au comité </w:t>
      </w:r>
      <w:proofErr w:type="spellStart"/>
      <w:r w:rsidR="007F1EEC">
        <w:t>M</w:t>
      </w:r>
      <w:r w:rsidR="00887E0C">
        <w:t>eeschaert</w:t>
      </w:r>
      <w:proofErr w:type="spellEnd"/>
      <w:r w:rsidR="00887E0C">
        <w:t xml:space="preserve"> destiné à </w:t>
      </w:r>
      <w:proofErr w:type="gramStart"/>
      <w:r w:rsidR="00887E0C">
        <w:t>l’</w:t>
      </w:r>
      <w:r w:rsidR="007F1EEC">
        <w:t xml:space="preserve"> analyse</w:t>
      </w:r>
      <w:proofErr w:type="gramEnd"/>
      <w:r w:rsidR="007F1EEC">
        <w:t xml:space="preserve"> du secteur</w:t>
      </w:r>
      <w:r>
        <w:t> </w:t>
      </w:r>
      <w:r w:rsidR="007F1EEC" w:rsidRPr="00140111">
        <w:rPr>
          <w:b/>
        </w:rPr>
        <w:t xml:space="preserve">Banques </w:t>
      </w:r>
      <w:r w:rsidR="00043FDA">
        <w:rPr>
          <w:b/>
        </w:rPr>
        <w:t>diversifiées</w:t>
      </w:r>
      <w:r w:rsidR="009422F1" w:rsidRPr="009422F1">
        <w:t xml:space="preserve"> </w:t>
      </w:r>
      <w:r>
        <w:t>pour</w:t>
      </w:r>
      <w:r w:rsidR="00740E18">
        <w:t xml:space="preserve"> le fonds Nouvelle Stratégie 50.</w:t>
      </w:r>
    </w:p>
    <w:p w:rsidR="002D27BE" w:rsidRDefault="002D27BE" w:rsidP="002D27BE"/>
    <w:p w:rsidR="009B7E14" w:rsidRDefault="002D27BE" w:rsidP="002D27BE">
      <w:r>
        <w:t xml:space="preserve">Nous avons étudié les entreprises suivantes : </w:t>
      </w:r>
      <w:r w:rsidR="00043FDA">
        <w:t xml:space="preserve">BNP Paribas, ABN AMRO Holding, Société générale, Crédit Agricole SA, </w:t>
      </w:r>
      <w:proofErr w:type="spellStart"/>
      <w:r w:rsidR="00043FDA">
        <w:t>Intesa</w:t>
      </w:r>
      <w:proofErr w:type="spellEnd"/>
      <w:r w:rsidR="00043FDA">
        <w:t xml:space="preserve"> San Paolo </w:t>
      </w:r>
      <w:proofErr w:type="spellStart"/>
      <w:r w:rsidR="00043FDA">
        <w:t>SpA</w:t>
      </w:r>
      <w:proofErr w:type="spellEnd"/>
      <w:r w:rsidR="00043FDA">
        <w:t xml:space="preserve"> , </w:t>
      </w:r>
      <w:proofErr w:type="spellStart"/>
      <w:r w:rsidR="00043FDA">
        <w:t>Banca</w:t>
      </w:r>
      <w:proofErr w:type="spellEnd"/>
      <w:r w:rsidR="00043FDA">
        <w:t xml:space="preserve"> Monte dei </w:t>
      </w:r>
      <w:proofErr w:type="spellStart"/>
      <w:r w:rsidR="00043FDA">
        <w:t>Paschi</w:t>
      </w:r>
      <w:proofErr w:type="spellEnd"/>
      <w:r w:rsidR="00043FDA">
        <w:t xml:space="preserve"> di </w:t>
      </w:r>
      <w:proofErr w:type="spellStart"/>
      <w:r w:rsidR="00043FDA">
        <w:t>Siena</w:t>
      </w:r>
      <w:proofErr w:type="spellEnd"/>
      <w:r w:rsidR="00043FDA">
        <w:t xml:space="preserve"> ,</w:t>
      </w:r>
      <w:proofErr w:type="spellStart"/>
      <w:r w:rsidR="00043FDA">
        <w:t>Danske</w:t>
      </w:r>
      <w:proofErr w:type="spellEnd"/>
      <w:r w:rsidR="00043FDA">
        <w:t xml:space="preserve"> Bank , ING Group , Lloyds Banking Group , BBVA , </w:t>
      </w:r>
      <w:proofErr w:type="spellStart"/>
      <w:r w:rsidR="00043FDA">
        <w:t>CaixaBank</w:t>
      </w:r>
      <w:proofErr w:type="spellEnd"/>
      <w:r w:rsidR="00043FDA">
        <w:t xml:space="preserve"> , </w:t>
      </w:r>
      <w:proofErr w:type="spellStart"/>
      <w:r w:rsidR="00A74613">
        <w:t>Natixis</w:t>
      </w:r>
      <w:proofErr w:type="spellEnd"/>
      <w:r w:rsidR="00A74613">
        <w:t xml:space="preserve"> , </w:t>
      </w:r>
      <w:proofErr w:type="spellStart"/>
      <w:r w:rsidR="00A74613">
        <w:t>Nordea</w:t>
      </w:r>
      <w:proofErr w:type="spellEnd"/>
      <w:r w:rsidR="00A74613">
        <w:t xml:space="preserve"> AB et </w:t>
      </w:r>
      <w:proofErr w:type="spellStart"/>
      <w:r w:rsidR="00A74613">
        <w:t>UniCredit</w:t>
      </w:r>
      <w:proofErr w:type="spellEnd"/>
      <w:r w:rsidR="00A74613">
        <w:t>.</w:t>
      </w:r>
    </w:p>
    <w:p w:rsidR="00AE4A25" w:rsidRDefault="00AE4A25" w:rsidP="002D27BE"/>
    <w:p w:rsidR="001A2C48" w:rsidRDefault="0029326B" w:rsidP="002D27BE">
      <w:r>
        <w:t xml:space="preserve">Ce secteur </w:t>
      </w:r>
      <w:r w:rsidR="00A74613">
        <w:t>regroupe les banques diversifiées</w:t>
      </w:r>
      <w:r>
        <w:t xml:space="preserve"> </w:t>
      </w:r>
      <w:r w:rsidR="00A74613">
        <w:t>.Elles sont en général plus importantes et plus interna</w:t>
      </w:r>
      <w:r w:rsidR="005732D3">
        <w:t>tionales que les banques spécialisées .Elles exercen</w:t>
      </w:r>
      <w:r>
        <w:t xml:space="preserve">t </w:t>
      </w:r>
      <w:r w:rsidR="005732D3">
        <w:t>aussi</w:t>
      </w:r>
      <w:r>
        <w:t xml:space="preserve"> une activité de collecte de dépôts et de distributi</w:t>
      </w:r>
      <w:r w:rsidR="005732D3">
        <w:t xml:space="preserve">on de crédits </w:t>
      </w:r>
      <w:r>
        <w:t xml:space="preserve"> au travers de réseaux d’agences complétés par des services Internet</w:t>
      </w:r>
      <w:r w:rsidR="005732D3">
        <w:t>, mais s’y ajoutent la banque d’investissement et de financement, la gestion d’actifs et des services financiers et d’assurance</w:t>
      </w:r>
      <w:r>
        <w:t>.</w:t>
      </w:r>
      <w:r w:rsidR="007B73F4">
        <w:t xml:space="preserve"> </w:t>
      </w:r>
      <w:r w:rsidR="005732D3">
        <w:t xml:space="preserve"> Comme pour les banques spécialisées, l</w:t>
      </w:r>
      <w:r w:rsidR="00C80354">
        <w:t xml:space="preserve">a crise financière </w:t>
      </w:r>
      <w:r w:rsidR="007B73F4">
        <w:t xml:space="preserve">a eu un fort impact sur le </w:t>
      </w:r>
      <w:r w:rsidR="00C80354">
        <w:t>secteur :</w:t>
      </w:r>
      <w:r w:rsidR="00C80354" w:rsidRPr="00C80354">
        <w:t xml:space="preserve"> </w:t>
      </w:r>
      <w:r w:rsidR="00C80354">
        <w:t>durcissement de la réglementation (Bâle III)</w:t>
      </w:r>
      <w:r w:rsidR="00BA0931">
        <w:t xml:space="preserve"> avec un niveau record d’amendes et de pénalités</w:t>
      </w:r>
      <w:r w:rsidR="00C80354">
        <w:t xml:space="preserve"> , baisse des taux d’intérêt et donc des marges, hausse des créances douteuses et donc grande prudence dans les crédits aux entreprises en particulier aux PME</w:t>
      </w:r>
      <w:r w:rsidR="00F07DAE">
        <w:t xml:space="preserve"> </w:t>
      </w:r>
      <w:r w:rsidR="00C80354">
        <w:t>.</w:t>
      </w:r>
      <w:r w:rsidR="00BA0931">
        <w:t>Le secteur doit restaurer la confiance des clients et en même temps saisir l’opportunité d</w:t>
      </w:r>
      <w:r w:rsidR="00887E0C">
        <w:t>e la digitalisation ( Internet) et de la transition énergétique ( Principes de l’</w:t>
      </w:r>
      <w:proofErr w:type="spellStart"/>
      <w:r w:rsidR="00887E0C">
        <w:t>Equateur</w:t>
      </w:r>
      <w:proofErr w:type="spellEnd"/>
      <w:r w:rsidR="00887E0C">
        <w:t xml:space="preserve"> , Fixation d’un prix du Carbone ).</w:t>
      </w:r>
    </w:p>
    <w:p w:rsidR="001A2C48" w:rsidRDefault="001A2C48" w:rsidP="002D27BE"/>
    <w:p w:rsidR="002D27BE" w:rsidRDefault="002D27BE" w:rsidP="002D27BE">
      <w:r>
        <w:t>Comment ce secteur répond-t-il aux objectifs de la charte d’</w:t>
      </w:r>
      <w:proofErr w:type="spellStart"/>
      <w:r>
        <w:t>Et</w:t>
      </w:r>
      <w:r w:rsidR="00EF3DFD">
        <w:t>hique</w:t>
      </w:r>
      <w:proofErr w:type="spellEnd"/>
      <w:r w:rsidR="00EF3DFD">
        <w:t xml:space="preserve"> et Investissement ?</w:t>
      </w:r>
      <w:r w:rsidR="00404E94">
        <w:t xml:space="preserve"> Globalement les notes </w:t>
      </w:r>
      <w:proofErr w:type="spellStart"/>
      <w:r w:rsidR="00404E94">
        <w:t>Vigeo</w:t>
      </w:r>
      <w:proofErr w:type="spellEnd"/>
      <w:r w:rsidR="00404E94">
        <w:t xml:space="preserve"> sont </w:t>
      </w:r>
      <w:proofErr w:type="gramStart"/>
      <w:r w:rsidR="00404E94">
        <w:t>bonnes ,</w:t>
      </w:r>
      <w:proofErr w:type="gramEnd"/>
      <w:r w:rsidR="00404E94">
        <w:t xml:space="preserve"> pratiquement toutes supérieures à 50 . </w:t>
      </w:r>
      <w:r w:rsidR="00EF3DFD">
        <w:t xml:space="preserve"> </w:t>
      </w:r>
      <w:r w:rsidR="0003195E">
        <w:t xml:space="preserve">La politique sociale est </w:t>
      </w:r>
      <w:r w:rsidR="00404E94">
        <w:t>bonne voire très bonne à l’exce</w:t>
      </w:r>
      <w:r w:rsidR="00DE5392">
        <w:t>ption d’une seule entreprise.</w:t>
      </w:r>
      <w:r w:rsidR="00DE5392" w:rsidRPr="00DE5392">
        <w:t xml:space="preserve"> </w:t>
      </w:r>
      <w:r w:rsidR="00DE5392">
        <w:t xml:space="preserve"> Il en est de même pour l</w:t>
      </w:r>
      <w:r w:rsidR="00816583">
        <w:t xml:space="preserve">a </w:t>
      </w:r>
      <w:r w:rsidR="00C51CDF">
        <w:t>politique</w:t>
      </w:r>
      <w:r w:rsidR="00816583">
        <w:t xml:space="preserve"> environnementale</w:t>
      </w:r>
      <w:r w:rsidR="00DE5392">
        <w:t xml:space="preserve">. </w:t>
      </w:r>
      <w:r w:rsidR="00E072DA">
        <w:t>L</w:t>
      </w:r>
      <w:r w:rsidR="00C51CDF">
        <w:t>es pratiques sur les marchés</w:t>
      </w:r>
      <w:r w:rsidR="00E072DA">
        <w:t xml:space="preserve"> sont</w:t>
      </w:r>
      <w:r w:rsidR="00DE5392">
        <w:t xml:space="preserve"> en général bonnes .L</w:t>
      </w:r>
      <w:r w:rsidR="00722EDB">
        <w:t>a gouvernance</w:t>
      </w:r>
      <w:r w:rsidR="00DE5392">
        <w:t xml:space="preserve"> est </w:t>
      </w:r>
      <w:proofErr w:type="gramStart"/>
      <w:r w:rsidR="00DE5392">
        <w:t>bonne ,voire</w:t>
      </w:r>
      <w:proofErr w:type="gramEnd"/>
      <w:r w:rsidR="00722EDB">
        <w:t xml:space="preserve"> très bonne</w:t>
      </w:r>
      <w:r w:rsidR="00DE5392">
        <w:t>, comme ce qui concerne le respect des droits de l’homme</w:t>
      </w:r>
      <w:r w:rsidR="00722EDB">
        <w:t xml:space="preserve">. </w:t>
      </w:r>
      <w:r w:rsidR="00052EE1">
        <w:t xml:space="preserve"> Enfin la situation est très contrastée </w:t>
      </w:r>
      <w:r w:rsidR="00590DD1">
        <w:t>pour l’</w:t>
      </w:r>
      <w:r w:rsidR="00DE5392">
        <w:t xml:space="preserve">engagement </w:t>
      </w:r>
      <w:proofErr w:type="gramStart"/>
      <w:r w:rsidR="00DE5392">
        <w:t>local</w:t>
      </w:r>
      <w:r w:rsidR="00052EE1">
        <w:t xml:space="preserve"> </w:t>
      </w:r>
      <w:r w:rsidR="00590DD1">
        <w:t>,</w:t>
      </w:r>
      <w:r w:rsidR="00DE5392">
        <w:t>en</w:t>
      </w:r>
      <w:proofErr w:type="gramEnd"/>
      <w:r w:rsidR="00DE5392">
        <w:t xml:space="preserve"> moyenne satisfaisant, alors que trois entreprises sont très performantes et trois autres très mauvaises.</w:t>
      </w:r>
    </w:p>
    <w:p w:rsidR="00E17572" w:rsidRDefault="00E17572" w:rsidP="002D27BE"/>
    <w:p w:rsidR="00492979" w:rsidRDefault="009D75A1">
      <w:r>
        <w:t>Les controverses</w:t>
      </w:r>
      <w:r w:rsidR="005E4578">
        <w:t xml:space="preserve"> sont </w:t>
      </w:r>
      <w:r w:rsidR="00590DD1">
        <w:t xml:space="preserve">extrêmement </w:t>
      </w:r>
      <w:proofErr w:type="gramStart"/>
      <w:r w:rsidR="00590DD1">
        <w:t>nombreuses</w:t>
      </w:r>
      <w:r w:rsidR="0038778B">
        <w:t xml:space="preserve"> ,</w:t>
      </w:r>
      <w:r w:rsidR="00590DD1">
        <w:t>aucune</w:t>
      </w:r>
      <w:proofErr w:type="gramEnd"/>
      <w:r w:rsidR="00590DD1">
        <w:t xml:space="preserve"> entreprise  n’</w:t>
      </w:r>
      <w:r w:rsidR="005B7347">
        <w:t xml:space="preserve"> y échappe</w:t>
      </w:r>
      <w:r w:rsidR="00492979">
        <w:t>.</w:t>
      </w:r>
      <w:r w:rsidR="00697994">
        <w:t xml:space="preserve"> Elles concernent </w:t>
      </w:r>
      <w:r w:rsidR="00395A04">
        <w:t xml:space="preserve">très </w:t>
      </w:r>
      <w:r w:rsidR="0038778B">
        <w:t>souvent</w:t>
      </w:r>
      <w:r w:rsidR="00395A04">
        <w:t xml:space="preserve"> des problèmes de blan</w:t>
      </w:r>
      <w:r w:rsidR="0038778B">
        <w:t>chiment et de fraude fiscale</w:t>
      </w:r>
      <w:r w:rsidR="00395A04">
        <w:t>. Ainsi la Société générale et le Crédit Agricole</w:t>
      </w:r>
      <w:r w:rsidR="00785881">
        <w:t xml:space="preserve"> ont été très actives pour la création de sociétés off-shore à Panama dans l’affaire « Panama </w:t>
      </w:r>
      <w:proofErr w:type="spellStart"/>
      <w:r w:rsidR="00785881">
        <w:t>Papers</w:t>
      </w:r>
      <w:proofErr w:type="spellEnd"/>
      <w:r w:rsidR="00785881">
        <w:t> ».</w:t>
      </w:r>
      <w:proofErr w:type="spellStart"/>
      <w:r w:rsidR="0038778B">
        <w:t>Unicredit</w:t>
      </w:r>
      <w:proofErr w:type="spellEnd"/>
      <w:r w:rsidR="0038778B">
        <w:t xml:space="preserve"> a payé une forte amende en Allemagne pour fraude fiscale de trois de ses anciens </w:t>
      </w:r>
      <w:proofErr w:type="spellStart"/>
      <w:r w:rsidR="0038778B">
        <w:t>dirigeants.</w:t>
      </w:r>
      <w:r w:rsidR="009336AE">
        <w:t>Les</w:t>
      </w:r>
      <w:proofErr w:type="spellEnd"/>
      <w:r w:rsidR="009336AE">
        <w:t xml:space="preserve"> controverses portent aussi régulièrement sur la nature des projets financés et leur impact social et </w:t>
      </w:r>
      <w:proofErr w:type="spellStart"/>
      <w:r w:rsidR="009336AE">
        <w:t>environnemental.</w:t>
      </w:r>
      <w:r w:rsidR="00B60B2A">
        <w:t>Finalement</w:t>
      </w:r>
      <w:proofErr w:type="spellEnd"/>
      <w:r w:rsidR="00B60B2A">
        <w:t xml:space="preserve"> , nous n’</w:t>
      </w:r>
      <w:r w:rsidR="00CB305A">
        <w:t xml:space="preserve">avons </w:t>
      </w:r>
      <w:r w:rsidR="00B60B2A">
        <w:t>conservé ou intégré que six</w:t>
      </w:r>
      <w:r w:rsidR="00CB305A">
        <w:t xml:space="preserve"> entreprises sur les </w:t>
      </w:r>
      <w:r w:rsidR="00B60B2A">
        <w:t>quatorze</w:t>
      </w:r>
      <w:r w:rsidR="00CB305A">
        <w:t xml:space="preserve"> présentées</w:t>
      </w:r>
      <w:r w:rsidR="00B60B2A">
        <w:t>, nous avons cependant noté</w:t>
      </w:r>
      <w:r w:rsidR="00E47706">
        <w:t xml:space="preserve"> pour la plupart des entreprises une  volonté manifeste d’amélioration des organisations en vue du contrôle plus éthique de leur activité.</w:t>
      </w:r>
      <w:r w:rsidR="00CB305A">
        <w:t>.</w:t>
      </w:r>
    </w:p>
    <w:p w:rsidR="00E42C2E" w:rsidRDefault="00E42C2E"/>
    <w:p w:rsidR="00E42C2E" w:rsidRDefault="00E42C2E"/>
    <w:p w:rsidR="00E42C2E" w:rsidRDefault="00E42C2E"/>
    <w:p w:rsidR="00E42C2E" w:rsidRDefault="00E42C2E"/>
    <w:p w:rsidR="00E42C2E" w:rsidRDefault="00E42C2E"/>
    <w:p w:rsidR="00E42C2E" w:rsidRDefault="00E42C2E"/>
    <w:tbl>
      <w:tblPr>
        <w:tblpPr w:leftFromText="141" w:rightFromText="141" w:vertAnchor="text" w:horzAnchor="margin" w:tblpY="-290"/>
        <w:tblW w:w="6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3037"/>
      </w:tblGrid>
      <w:tr w:rsidR="00E42C2E" w:rsidTr="00E42C2E">
        <w:trPr>
          <w:trHeight w:val="202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1"/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bookmarkStart w:id="0" w:name="_GoBack"/>
            <w:bookmarkEnd w:id="0"/>
            <w:proofErr w:type="spellStart"/>
            <w:r>
              <w:rPr>
                <w:b/>
                <w:bCs/>
                <w:color w:val="FFFFFF"/>
                <w:sz w:val="18"/>
                <w:szCs w:val="18"/>
              </w:rPr>
              <w:lastRenderedPageBreak/>
              <w:t>Company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41E41"/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FFFFFF"/>
                <w:sz w:val="18"/>
                <w:szCs w:val="18"/>
              </w:rPr>
              <w:t>Ethique</w:t>
            </w:r>
            <w:proofErr w:type="spellEnd"/>
            <w:r>
              <w:rPr>
                <w:color w:val="FFFFFF"/>
                <w:sz w:val="18"/>
                <w:szCs w:val="18"/>
              </w:rPr>
              <w:t xml:space="preserve"> et Investissement</w:t>
            </w:r>
          </w:p>
        </w:tc>
      </w:tr>
      <w:tr w:rsidR="00E42C2E" w:rsidTr="00E42C2E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BNP Paribas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ABN-AMRO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Hldg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Intégrer</w:t>
            </w:r>
          </w:p>
        </w:tc>
      </w:tr>
      <w:tr w:rsidR="00E42C2E" w:rsidTr="00E42C2E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Societe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Exclure</w:t>
            </w:r>
          </w:p>
        </w:tc>
      </w:tr>
      <w:tr w:rsidR="00E42C2E" w:rsidTr="00E42C2E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Credit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Agricole SA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Exclure</w:t>
            </w:r>
          </w:p>
        </w:tc>
      </w:tr>
      <w:tr w:rsidR="00E42C2E" w:rsidTr="00E42C2E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Intesa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Sanpaolo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S.p.A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it-IT"/>
              </w:rPr>
              <w:t>Banca Monte Dei Paschi Di Sien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Danske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Bank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Conserver</w:t>
            </w:r>
          </w:p>
        </w:tc>
      </w:tr>
      <w:tr w:rsidR="00E42C2E" w:rsidTr="00E42C2E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ING Group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Intégrer</w:t>
            </w:r>
          </w:p>
        </w:tc>
      </w:tr>
      <w:tr w:rsidR="00E42C2E" w:rsidTr="00E42C2E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Lloyds Banking Group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Banco Bilbao Vizcaya Argentaria (BBVA)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Conserver</w:t>
            </w:r>
          </w:p>
        </w:tc>
      </w:tr>
      <w:tr w:rsidR="00E42C2E" w:rsidTr="00E42C2E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CaixaBank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Intégrer</w:t>
            </w:r>
          </w:p>
        </w:tc>
      </w:tr>
      <w:tr w:rsidR="00E42C2E" w:rsidTr="00E42C2E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Natixis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Intégrer</w:t>
            </w:r>
          </w:p>
        </w:tc>
      </w:tr>
      <w:tr w:rsidR="00E42C2E" w:rsidTr="00E42C2E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Nordea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AB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UniCredit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E42C2E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COMMERZBANK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KBC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Banco Santander S.A.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Barclays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DNB A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Erste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Bank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HSBC Holdings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UBS R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BANKIA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Deutsche Bank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Skandinaviska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Enskilda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BK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Swedbank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AB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Credit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Suisse Group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Svenska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Handelsbanken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RBS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E42C2E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Standard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Chartered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E42C2E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</w:tbl>
    <w:p w:rsidR="00E42C2E" w:rsidRDefault="00E42C2E"/>
    <w:tbl>
      <w:tblPr>
        <w:tblpPr w:leftFromText="141" w:rightFromText="141" w:vertAnchor="text" w:horzAnchor="margin" w:tblpY="10780"/>
        <w:tblW w:w="6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3037"/>
      </w:tblGrid>
      <w:tr w:rsidR="00E42C2E" w:rsidTr="002F0905">
        <w:trPr>
          <w:trHeight w:val="202"/>
        </w:trPr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41E41"/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FFFFFF"/>
                <w:sz w:val="18"/>
                <w:szCs w:val="18"/>
              </w:rPr>
              <w:t>Company</w:t>
            </w:r>
            <w:proofErr w:type="spellEnd"/>
            <w:r>
              <w:rPr>
                <w:b/>
                <w:bCs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FFFFFF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3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41E41"/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FFFFFF"/>
                <w:sz w:val="18"/>
                <w:szCs w:val="18"/>
              </w:rPr>
              <w:t>Ethique</w:t>
            </w:r>
            <w:proofErr w:type="spellEnd"/>
            <w:r>
              <w:rPr>
                <w:color w:val="FFFFFF"/>
                <w:sz w:val="18"/>
                <w:szCs w:val="18"/>
              </w:rPr>
              <w:t xml:space="preserve"> et Investissement</w:t>
            </w:r>
          </w:p>
        </w:tc>
      </w:tr>
      <w:tr w:rsidR="00E42C2E" w:rsidTr="002F0905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BNP Paribas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ABN-AMRO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Hldg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Intégrer</w:t>
            </w:r>
          </w:p>
        </w:tc>
      </w:tr>
      <w:tr w:rsidR="00E42C2E" w:rsidTr="002F0905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Societe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Generale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Exclure</w:t>
            </w:r>
          </w:p>
        </w:tc>
      </w:tr>
      <w:tr w:rsidR="00E42C2E" w:rsidTr="002F0905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Credit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Agricole SA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Exclure</w:t>
            </w:r>
          </w:p>
        </w:tc>
      </w:tr>
      <w:tr w:rsidR="00E42C2E" w:rsidTr="002F0905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Intesa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Sanpaolo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S.p.A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it-IT"/>
              </w:rPr>
              <w:t>Banca Monte Dei Paschi Di Sien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Danske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Bank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Conserver</w:t>
            </w:r>
          </w:p>
        </w:tc>
      </w:tr>
      <w:tr w:rsidR="00E42C2E" w:rsidTr="002F0905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ING Group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Intégrer</w:t>
            </w:r>
          </w:p>
        </w:tc>
      </w:tr>
      <w:tr w:rsidR="00E42C2E" w:rsidTr="002F0905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Lloyds Banking Group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Banco Bilbao Vizcaya Argentaria (BBVA)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Conserver</w:t>
            </w:r>
          </w:p>
        </w:tc>
      </w:tr>
      <w:tr w:rsidR="00E42C2E" w:rsidTr="002F0905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CaixaBank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Intégrer</w:t>
            </w:r>
          </w:p>
        </w:tc>
      </w:tr>
      <w:tr w:rsidR="00E42C2E" w:rsidTr="002F0905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Natixis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Intégrer</w:t>
            </w:r>
          </w:p>
        </w:tc>
      </w:tr>
      <w:tr w:rsidR="00E42C2E" w:rsidTr="002F0905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Nordea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AB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4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UniCredit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E42C2E" w:rsidRDefault="00E42C2E" w:rsidP="002F0905">
            <w:pPr>
              <w:spacing w:line="283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COMMERZBANK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KBC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Banco Santander S.A.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Barclays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DNB A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Erste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Bank 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HSBC Holdings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UBS R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BANKIA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Deutsche Bank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Skandinaviska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Enskilda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BK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Swedbank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AB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Credit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Suisse Group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Svenska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Handelsbanken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RBS</w:t>
            </w:r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  <w:tr w:rsidR="00E42C2E" w:rsidTr="002F0905">
        <w:trPr>
          <w:trHeight w:val="202"/>
        </w:trPr>
        <w:tc>
          <w:tcPr>
            <w:tcW w:w="3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Standard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Chartered</w:t>
            </w:r>
            <w:proofErr w:type="spellEnd"/>
          </w:p>
        </w:tc>
        <w:tc>
          <w:tcPr>
            <w:tcW w:w="3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6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E42C2E" w:rsidRDefault="00E42C2E" w:rsidP="002F0905">
            <w:pPr>
              <w:spacing w:line="170" w:lineRule="atLeast"/>
              <w:jc w:val="center"/>
              <w:textAlignment w:val="bottom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Ne pas intégrer</w:t>
            </w:r>
          </w:p>
        </w:tc>
      </w:tr>
    </w:tbl>
    <w:p w:rsidR="00E42C2E" w:rsidRDefault="00E42C2E"/>
    <w:sectPr w:rsidR="00E42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C0" w:rsidRDefault="001A70C0" w:rsidP="003F3AA5">
      <w:r>
        <w:separator/>
      </w:r>
    </w:p>
  </w:endnote>
  <w:endnote w:type="continuationSeparator" w:id="0">
    <w:p w:rsidR="001A70C0" w:rsidRDefault="001A70C0" w:rsidP="003F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C0" w:rsidRDefault="001A70C0" w:rsidP="003F3AA5">
      <w:r>
        <w:separator/>
      </w:r>
    </w:p>
  </w:footnote>
  <w:footnote w:type="continuationSeparator" w:id="0">
    <w:p w:rsidR="001A70C0" w:rsidRDefault="001A70C0" w:rsidP="003F3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BE"/>
    <w:rsid w:val="0003195E"/>
    <w:rsid w:val="00043FDA"/>
    <w:rsid w:val="00052EE1"/>
    <w:rsid w:val="00076D11"/>
    <w:rsid w:val="000947C9"/>
    <w:rsid w:val="00094C83"/>
    <w:rsid w:val="00140111"/>
    <w:rsid w:val="00175F24"/>
    <w:rsid w:val="001A2C48"/>
    <w:rsid w:val="001A70C0"/>
    <w:rsid w:val="0029326B"/>
    <w:rsid w:val="002D27BE"/>
    <w:rsid w:val="003265F0"/>
    <w:rsid w:val="00387356"/>
    <w:rsid w:val="0038778B"/>
    <w:rsid w:val="00395A04"/>
    <w:rsid w:val="003B7767"/>
    <w:rsid w:val="003F3AA5"/>
    <w:rsid w:val="00404E94"/>
    <w:rsid w:val="00471CDC"/>
    <w:rsid w:val="00492979"/>
    <w:rsid w:val="004A2AD9"/>
    <w:rsid w:val="004B6CE3"/>
    <w:rsid w:val="00514655"/>
    <w:rsid w:val="00526195"/>
    <w:rsid w:val="005732D3"/>
    <w:rsid w:val="00590DD1"/>
    <w:rsid w:val="005B69D9"/>
    <w:rsid w:val="005B7347"/>
    <w:rsid w:val="005C2172"/>
    <w:rsid w:val="005E4578"/>
    <w:rsid w:val="005E64B8"/>
    <w:rsid w:val="00671587"/>
    <w:rsid w:val="00697994"/>
    <w:rsid w:val="006C3995"/>
    <w:rsid w:val="006D3566"/>
    <w:rsid w:val="00703975"/>
    <w:rsid w:val="00722EDB"/>
    <w:rsid w:val="00740E18"/>
    <w:rsid w:val="00746EC9"/>
    <w:rsid w:val="00785881"/>
    <w:rsid w:val="00795274"/>
    <w:rsid w:val="007B73F4"/>
    <w:rsid w:val="007D3149"/>
    <w:rsid w:val="007D7814"/>
    <w:rsid w:val="007D7A64"/>
    <w:rsid w:val="007F1EEC"/>
    <w:rsid w:val="00816583"/>
    <w:rsid w:val="008239F7"/>
    <w:rsid w:val="00844638"/>
    <w:rsid w:val="00887E0C"/>
    <w:rsid w:val="008B35D7"/>
    <w:rsid w:val="008C0424"/>
    <w:rsid w:val="008D1953"/>
    <w:rsid w:val="008E55FC"/>
    <w:rsid w:val="008E7AC7"/>
    <w:rsid w:val="008F46F2"/>
    <w:rsid w:val="008F638B"/>
    <w:rsid w:val="009336AE"/>
    <w:rsid w:val="009422F1"/>
    <w:rsid w:val="009B7E14"/>
    <w:rsid w:val="009D75A1"/>
    <w:rsid w:val="00A74613"/>
    <w:rsid w:val="00A74D12"/>
    <w:rsid w:val="00A80E31"/>
    <w:rsid w:val="00AA4063"/>
    <w:rsid w:val="00AE4A25"/>
    <w:rsid w:val="00B60B2A"/>
    <w:rsid w:val="00B84432"/>
    <w:rsid w:val="00BA0931"/>
    <w:rsid w:val="00BD1DB8"/>
    <w:rsid w:val="00C51CDF"/>
    <w:rsid w:val="00C76F99"/>
    <w:rsid w:val="00C80354"/>
    <w:rsid w:val="00C83E85"/>
    <w:rsid w:val="00CA552D"/>
    <w:rsid w:val="00CB305A"/>
    <w:rsid w:val="00CB305C"/>
    <w:rsid w:val="00D0532E"/>
    <w:rsid w:val="00D14393"/>
    <w:rsid w:val="00D321CA"/>
    <w:rsid w:val="00D3502A"/>
    <w:rsid w:val="00D749F5"/>
    <w:rsid w:val="00DD7442"/>
    <w:rsid w:val="00DE5392"/>
    <w:rsid w:val="00E072DA"/>
    <w:rsid w:val="00E17572"/>
    <w:rsid w:val="00E30CFC"/>
    <w:rsid w:val="00E42C2E"/>
    <w:rsid w:val="00E47706"/>
    <w:rsid w:val="00E76D63"/>
    <w:rsid w:val="00E918A1"/>
    <w:rsid w:val="00EB74C0"/>
    <w:rsid w:val="00ED00CD"/>
    <w:rsid w:val="00EF3DFD"/>
    <w:rsid w:val="00F07DAE"/>
    <w:rsid w:val="00FA5E14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3A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3AA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F3A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3AA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3A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3AA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F3A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3AA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Chardigny</dc:creator>
  <cp:lastModifiedBy>Agathe David</cp:lastModifiedBy>
  <cp:revision>4</cp:revision>
  <dcterms:created xsi:type="dcterms:W3CDTF">2016-11-15T11:45:00Z</dcterms:created>
  <dcterms:modified xsi:type="dcterms:W3CDTF">2016-12-08T10:26:00Z</dcterms:modified>
</cp:coreProperties>
</file>